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4DDD" w:rsidRPr="004F03C9" w:rsidRDefault="00E710E2" w:rsidP="004F03C9">
      <w:pPr>
        <w:pStyle w:val="Heading1"/>
        <w:jc w:val="center"/>
        <w:rPr>
          <w:b/>
        </w:rPr>
      </w:pPr>
      <w:r w:rsidRPr="004F03C9">
        <w:rPr>
          <w:b/>
        </w:rPr>
        <w:t xml:space="preserve">Memo of </w:t>
      </w:r>
      <w:r w:rsidR="007422CF">
        <w:rPr>
          <w:b/>
        </w:rPr>
        <w:t>doctoral student</w:t>
      </w:r>
    </w:p>
    <w:p w:rsidR="00E710E2" w:rsidRDefault="00E710E2"/>
    <w:p w:rsidR="004F03C9" w:rsidRDefault="004F03C9" w:rsidP="008F40D1">
      <w:pPr>
        <w:pStyle w:val="Heading1"/>
        <w:spacing w:after="240"/>
      </w:pPr>
      <w:r>
        <w:t>General matters</w:t>
      </w:r>
    </w:p>
    <w:p w:rsidR="004F03C9" w:rsidRDefault="00187CCC" w:rsidP="004F03C9">
      <w:pPr>
        <w:pStyle w:val="ListParagraph"/>
        <w:numPr>
          <w:ilvl w:val="0"/>
          <w:numId w:val="3"/>
        </w:numPr>
        <w:jc w:val="both"/>
      </w:pPr>
      <w:r>
        <w:t xml:space="preserve">Doctoral studies </w:t>
      </w:r>
      <w:r w:rsidR="007422CF">
        <w:t>start</w:t>
      </w:r>
      <w:r>
        <w:t xml:space="preserve"> </w:t>
      </w:r>
      <w:r w:rsidR="007422CF">
        <w:t>from 1</w:t>
      </w:r>
      <w:r w:rsidR="007422CF" w:rsidRPr="007422CF">
        <w:rPr>
          <w:vertAlign w:val="superscript"/>
        </w:rPr>
        <w:t>st</w:t>
      </w:r>
      <w:r w:rsidR="007422CF">
        <w:t xml:space="preserve"> </w:t>
      </w:r>
      <w:r>
        <w:t xml:space="preserve">October </w:t>
      </w:r>
      <w:r w:rsidR="007422CF">
        <w:t>(</w:t>
      </w:r>
      <w:r w:rsidR="007422CF" w:rsidRPr="007422CF">
        <w:t>except in rare exceptional cases</w:t>
      </w:r>
      <w:r w:rsidR="007422CF">
        <w:t>)</w:t>
      </w:r>
      <w:r>
        <w:t xml:space="preserve">. Doctoral studies are </w:t>
      </w:r>
      <w:r w:rsidR="007422CF" w:rsidRPr="007422CF">
        <w:t xml:space="preserve">full-time </w:t>
      </w:r>
      <w:r>
        <w:t>(8-hour working day) and last 4 (four) years.</w:t>
      </w:r>
    </w:p>
    <w:p w:rsidR="00B20628" w:rsidRDefault="00B20628" w:rsidP="004F03C9">
      <w:pPr>
        <w:pStyle w:val="ListParagraph"/>
        <w:numPr>
          <w:ilvl w:val="0"/>
          <w:numId w:val="3"/>
        </w:numPr>
        <w:jc w:val="both"/>
      </w:pPr>
      <w:r>
        <w:t xml:space="preserve">Documents regulating doctoral studies and other relevant documents during the </w:t>
      </w:r>
      <w:r w:rsidR="007422CF">
        <w:t>study</w:t>
      </w:r>
      <w:r>
        <w:t xml:space="preserve"> period, sample applications, etc. </w:t>
      </w:r>
      <w:r w:rsidR="007422CF" w:rsidRPr="007422CF">
        <w:t xml:space="preserve">are provided </w:t>
      </w:r>
      <w:r>
        <w:t>on the FTMC website (</w:t>
      </w:r>
      <w:hyperlink r:id="rId5" w:history="1">
        <w:r w:rsidR="007422CF" w:rsidRPr="00DC2A15">
          <w:rPr>
            <w:rStyle w:val="Hyperlink"/>
          </w:rPr>
          <w:t>www.ftmc.lt</w:t>
        </w:r>
      </w:hyperlink>
      <w:r>
        <w:t xml:space="preserve">), in the </w:t>
      </w:r>
      <w:r w:rsidR="007422CF">
        <w:t xml:space="preserve">section </w:t>
      </w:r>
      <w:r w:rsidR="007422CF" w:rsidRPr="007422CF">
        <w:rPr>
          <w:i/>
        </w:rPr>
        <w:t>Studies</w:t>
      </w:r>
      <w:r w:rsidRPr="007422CF">
        <w:t>/</w:t>
      </w:r>
      <w:r w:rsidRPr="007422CF">
        <w:rPr>
          <w:i/>
        </w:rPr>
        <w:t>Documents</w:t>
      </w:r>
      <w:r>
        <w:t xml:space="preserve"> (</w:t>
      </w:r>
      <w:hyperlink r:id="rId6" w:history="1">
        <w:r w:rsidR="00C91586" w:rsidRPr="00DC2A15">
          <w:rPr>
            <w:rStyle w:val="Hyperlink"/>
          </w:rPr>
          <w:t>https://www.ftmc.lt/dokumentai-3</w:t>
        </w:r>
      </w:hyperlink>
      <w:r>
        <w:t>).</w:t>
      </w:r>
    </w:p>
    <w:p w:rsidR="008F40D1" w:rsidRDefault="008F40D1" w:rsidP="008F40D1">
      <w:pPr>
        <w:pStyle w:val="ListParagraph"/>
        <w:numPr>
          <w:ilvl w:val="0"/>
          <w:numId w:val="3"/>
        </w:numPr>
        <w:jc w:val="both"/>
      </w:pPr>
      <w:r>
        <w:t xml:space="preserve">A doctoral student admitted to doctoral studies at FTMC must create and use </w:t>
      </w:r>
      <w:r w:rsidRPr="008F40D1">
        <w:rPr>
          <w:b/>
        </w:rPr>
        <w:t xml:space="preserve">an official e-mail </w:t>
      </w:r>
      <w:r w:rsidR="00C91586">
        <w:rPr>
          <w:b/>
        </w:rPr>
        <w:t xml:space="preserve">address </w:t>
      </w:r>
      <w:proofErr w:type="spellStart"/>
      <w:r w:rsidR="00C91586">
        <w:rPr>
          <w:i/>
        </w:rPr>
        <w:t>name</w:t>
      </w:r>
      <w:r w:rsidRPr="008F40D1">
        <w:rPr>
          <w:i/>
        </w:rPr>
        <w:t>.</w:t>
      </w:r>
      <w:r w:rsidR="00C91586">
        <w:rPr>
          <w:i/>
        </w:rPr>
        <w:t>surname</w:t>
      </w:r>
      <w:r w:rsidRPr="008F40D1">
        <w:rPr>
          <w:i/>
        </w:rPr>
        <w:t>@ftmc.lt</w:t>
      </w:r>
      <w:proofErr w:type="spellEnd"/>
      <w:r w:rsidRPr="008F40D1">
        <w:rPr>
          <w:i/>
        </w:rPr>
        <w:t xml:space="preserve"> </w:t>
      </w:r>
      <w:r>
        <w:t>(</w:t>
      </w:r>
      <w:r w:rsidR="007422CF">
        <w:t xml:space="preserve">for that please </w:t>
      </w:r>
      <w:r>
        <w:t xml:space="preserve">contact FTMC IT specialist </w:t>
      </w:r>
      <w:proofErr w:type="spellStart"/>
      <w:r>
        <w:t>Kestutis</w:t>
      </w:r>
      <w:proofErr w:type="spellEnd"/>
      <w:r>
        <w:t xml:space="preserve"> </w:t>
      </w:r>
      <w:proofErr w:type="spellStart"/>
      <w:r>
        <w:t>Senuta</w:t>
      </w:r>
      <w:proofErr w:type="spellEnd"/>
      <w:r>
        <w:t xml:space="preserve"> (</w:t>
      </w:r>
      <w:hyperlink r:id="rId7" w:history="1">
        <w:r w:rsidR="00C91586" w:rsidRPr="00DC2A15">
          <w:rPr>
            <w:rStyle w:val="Hyperlink"/>
          </w:rPr>
          <w:t>kestutis.senuta@ftmc.lt</w:t>
        </w:r>
      </w:hyperlink>
      <w:r>
        <w:t xml:space="preserve">) and the account of the document management system </w:t>
      </w:r>
      <w:r w:rsidR="007422CF">
        <w:t>“</w:t>
      </w:r>
      <w:proofErr w:type="spellStart"/>
      <w:r>
        <w:t>Kontora</w:t>
      </w:r>
      <w:proofErr w:type="spellEnd"/>
      <w:r w:rsidR="007422CF">
        <w:t>”</w:t>
      </w:r>
      <w:r>
        <w:t xml:space="preserve"> </w:t>
      </w:r>
      <w:r w:rsidRPr="008F40D1">
        <w:rPr>
          <w:b/>
        </w:rPr>
        <w:t xml:space="preserve">(DVS) </w:t>
      </w:r>
      <w:r>
        <w:t xml:space="preserve">(contact the </w:t>
      </w:r>
      <w:r w:rsidR="007422CF">
        <w:t xml:space="preserve">administrators of </w:t>
      </w:r>
      <w:r>
        <w:t>Document Management Service, room D409, Saulėtekio al. 3, Vilnius).</w:t>
      </w:r>
    </w:p>
    <w:p w:rsidR="008F40D1" w:rsidRDefault="008F40D1" w:rsidP="008F40D1">
      <w:pPr>
        <w:pStyle w:val="ListParagraph"/>
        <w:numPr>
          <w:ilvl w:val="0"/>
          <w:numId w:val="3"/>
        </w:numPr>
        <w:jc w:val="both"/>
      </w:pPr>
      <w:r>
        <w:t>Doctoral students are paid scholarship</w:t>
      </w:r>
      <w:r w:rsidR="007422CF">
        <w:t xml:space="preserve"> (tax free)</w:t>
      </w:r>
      <w:r>
        <w:t xml:space="preserve"> in the amount determined by the state:</w:t>
      </w:r>
    </w:p>
    <w:tbl>
      <w:tblPr>
        <w:tblW w:w="0" w:type="auto"/>
        <w:tblCellMar>
          <w:left w:w="0" w:type="dxa"/>
          <w:right w:w="0" w:type="dxa"/>
        </w:tblCellMar>
        <w:tblLook w:val="0420" w:firstRow="1" w:lastRow="0" w:firstColumn="0" w:lastColumn="0" w:noHBand="0" w:noVBand="1"/>
      </w:tblPr>
      <w:tblGrid>
        <w:gridCol w:w="3294"/>
        <w:gridCol w:w="1639"/>
        <w:gridCol w:w="1639"/>
        <w:gridCol w:w="1371"/>
        <w:gridCol w:w="1371"/>
        <w:gridCol w:w="26"/>
      </w:tblGrid>
      <w:tr w:rsidR="00916E4B" w:rsidRPr="00187CCC" w:rsidTr="00916E4B">
        <w:trPr>
          <w:trHeight w:val="313"/>
        </w:trPr>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rPr>
                <w:b/>
                <w:bCs/>
              </w:rPr>
              <w:t>Study years</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rPr>
                <w:b/>
                <w:bCs/>
              </w:rPr>
              <w:t>From 2021.01.01</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rPr>
                <w:b/>
                <w:bCs/>
              </w:rPr>
              <w:t>From 01.01.2022</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916E4B" w:rsidRPr="00187CCC" w:rsidRDefault="00916E4B" w:rsidP="00916E4B">
            <w:pPr>
              <w:pStyle w:val="ListParagraph"/>
              <w:spacing w:after="0" w:line="240" w:lineRule="auto"/>
              <w:ind w:left="0"/>
              <w:jc w:val="center"/>
              <w:rPr>
                <w:lang w:val="en-US"/>
              </w:rPr>
            </w:pPr>
            <w:r w:rsidRPr="00187CCC">
              <w:rPr>
                <w:b/>
                <w:bCs/>
              </w:rPr>
              <w:t>From 2022.06.01</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916E4B" w:rsidRPr="00F6341C" w:rsidRDefault="00916E4B" w:rsidP="00916E4B">
            <w:pPr>
              <w:pStyle w:val="ListParagraph"/>
              <w:spacing w:after="0" w:line="240" w:lineRule="auto"/>
              <w:ind w:left="0"/>
              <w:jc w:val="center"/>
              <w:rPr>
                <w:lang w:val="en-US"/>
              </w:rPr>
            </w:pPr>
            <w:r w:rsidRPr="00F6341C">
              <w:rPr>
                <w:b/>
                <w:bCs/>
              </w:rPr>
              <w:t>From 2023.0</w:t>
            </w:r>
            <w:r w:rsidR="00F6341C" w:rsidRPr="00F6341C">
              <w:rPr>
                <w:b/>
                <w:bCs/>
              </w:rPr>
              <w:t>1</w:t>
            </w:r>
            <w:r w:rsidRPr="00F6341C">
              <w:rPr>
                <w:b/>
                <w:bCs/>
              </w:rPr>
              <w:t>.01</w:t>
            </w:r>
          </w:p>
        </w:tc>
        <w:tc>
          <w:tcPr>
            <w:tcW w:w="0" w:type="auto"/>
            <w:tcBorders>
              <w:top w:val="single" w:sz="8" w:space="0" w:color="FFFFFF"/>
              <w:left w:val="single" w:sz="8" w:space="0" w:color="FFFFFF"/>
              <w:bottom w:val="single" w:sz="24" w:space="0" w:color="FFFFFF"/>
              <w:right w:val="single" w:sz="8" w:space="0" w:color="FFFFFF"/>
            </w:tcBorders>
            <w:shd w:val="clear" w:color="auto" w:fill="4F81BD"/>
          </w:tcPr>
          <w:p w:rsidR="00916E4B" w:rsidRPr="00187CCC" w:rsidRDefault="00916E4B" w:rsidP="00916E4B">
            <w:pPr>
              <w:pStyle w:val="ListParagraph"/>
              <w:spacing w:after="0" w:line="240" w:lineRule="auto"/>
              <w:ind w:left="0"/>
              <w:jc w:val="center"/>
              <w:rPr>
                <w:b/>
                <w:bCs/>
              </w:rPr>
            </w:pPr>
          </w:p>
        </w:tc>
      </w:tr>
      <w:tr w:rsidR="00916E4B" w:rsidRPr="00187CCC" w:rsidTr="00916E4B">
        <w:trPr>
          <w:trHeight w:val="336"/>
        </w:trPr>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6E4B" w:rsidRPr="00187CCC" w:rsidRDefault="00916E4B" w:rsidP="00916E4B">
            <w:pPr>
              <w:pStyle w:val="ListParagraph"/>
              <w:spacing w:after="0" w:line="240" w:lineRule="auto"/>
              <w:ind w:left="0"/>
              <w:jc w:val="both"/>
              <w:rPr>
                <w:lang w:val="en-US"/>
              </w:rPr>
            </w:pPr>
            <w:r w:rsidRPr="00187CCC">
              <w:t xml:space="preserve">For doctoral students of the </w:t>
            </w:r>
            <w:r w:rsidR="00C91586">
              <w:t xml:space="preserve">I </w:t>
            </w:r>
            <w:r w:rsidRPr="00187CCC">
              <w:t>year of study</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t>€760.00</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t>€798.00</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Pr>
          <w:p w:rsidR="00916E4B" w:rsidRPr="00187CCC" w:rsidRDefault="00916E4B" w:rsidP="00916E4B">
            <w:pPr>
              <w:pStyle w:val="ListParagraph"/>
              <w:spacing w:after="0" w:line="240" w:lineRule="auto"/>
              <w:ind w:left="0"/>
              <w:jc w:val="center"/>
              <w:rPr>
                <w:lang w:val="en-US"/>
              </w:rPr>
            </w:pPr>
            <w:r>
              <w:t>€847.00</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Pr>
          <w:p w:rsidR="00916E4B" w:rsidRPr="00F6341C" w:rsidRDefault="00916E4B" w:rsidP="00916E4B">
            <w:pPr>
              <w:pStyle w:val="ListParagraph"/>
              <w:spacing w:after="0" w:line="240" w:lineRule="auto"/>
              <w:ind w:left="0"/>
              <w:jc w:val="center"/>
              <w:rPr>
                <w:lang w:val="en-US"/>
              </w:rPr>
            </w:pPr>
            <w:r w:rsidRPr="00F6341C">
              <w:t>€931.00</w:t>
            </w:r>
          </w:p>
        </w:tc>
        <w:tc>
          <w:tcPr>
            <w:tcW w:w="0" w:type="auto"/>
            <w:tcBorders>
              <w:top w:val="single" w:sz="24" w:space="0" w:color="FFFFFF"/>
              <w:left w:val="single" w:sz="8" w:space="0" w:color="FFFFFF"/>
              <w:bottom w:val="single" w:sz="8" w:space="0" w:color="FFFFFF"/>
              <w:right w:val="single" w:sz="8" w:space="0" w:color="FFFFFF"/>
            </w:tcBorders>
            <w:shd w:val="clear" w:color="auto" w:fill="D0D8E8"/>
          </w:tcPr>
          <w:p w:rsidR="00916E4B" w:rsidRPr="00187CCC" w:rsidRDefault="00916E4B" w:rsidP="00916E4B">
            <w:pPr>
              <w:pStyle w:val="ListParagraph"/>
              <w:spacing w:after="0" w:line="240" w:lineRule="auto"/>
              <w:ind w:left="0"/>
              <w:jc w:val="center"/>
            </w:pPr>
          </w:p>
        </w:tc>
      </w:tr>
      <w:tr w:rsidR="00916E4B" w:rsidRPr="00187CCC" w:rsidTr="00916E4B">
        <w:trPr>
          <w:trHeight w:val="376"/>
        </w:trPr>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16E4B" w:rsidRPr="00187CCC" w:rsidRDefault="00916E4B" w:rsidP="00916E4B">
            <w:pPr>
              <w:pStyle w:val="ListParagraph"/>
              <w:spacing w:after="0" w:line="240" w:lineRule="auto"/>
              <w:ind w:left="0"/>
              <w:jc w:val="both"/>
              <w:rPr>
                <w:lang w:val="en-US"/>
              </w:rPr>
            </w:pPr>
            <w:r w:rsidRPr="00187CCC">
              <w:t>For doctoral students of the II - IV year of study</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t>€880.00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Mar>
              <w:top w:w="72" w:type="dxa"/>
              <w:left w:w="144" w:type="dxa"/>
              <w:bottom w:w="72" w:type="dxa"/>
              <w:right w:w="144" w:type="dxa"/>
            </w:tcMar>
            <w:hideMark/>
          </w:tcPr>
          <w:p w:rsidR="00916E4B" w:rsidRPr="00187CCC" w:rsidRDefault="00916E4B" w:rsidP="00916E4B">
            <w:pPr>
              <w:pStyle w:val="ListParagraph"/>
              <w:spacing w:after="0" w:line="240" w:lineRule="auto"/>
              <w:ind w:left="0"/>
              <w:jc w:val="center"/>
              <w:rPr>
                <w:lang w:val="en-US"/>
              </w:rPr>
            </w:pPr>
            <w:r w:rsidRPr="00187CCC">
              <w:t>€924.00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Pr>
          <w:p w:rsidR="00916E4B" w:rsidRPr="00187CCC" w:rsidRDefault="00916E4B" w:rsidP="00916E4B">
            <w:pPr>
              <w:pStyle w:val="ListParagraph"/>
              <w:spacing w:after="0" w:line="240" w:lineRule="auto"/>
              <w:ind w:left="0"/>
              <w:jc w:val="center"/>
              <w:rPr>
                <w:lang w:val="en-US"/>
              </w:rPr>
            </w:pPr>
            <w:r>
              <w:t>€1012.00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Pr>
          <w:p w:rsidR="00916E4B" w:rsidRPr="00F6341C" w:rsidRDefault="00916E4B" w:rsidP="00916E4B">
            <w:pPr>
              <w:pStyle w:val="ListParagraph"/>
              <w:spacing w:after="0" w:line="240" w:lineRule="auto"/>
              <w:ind w:left="0"/>
              <w:jc w:val="center"/>
              <w:rPr>
                <w:lang w:val="en-US"/>
              </w:rPr>
            </w:pPr>
            <w:r w:rsidRPr="00F6341C">
              <w:t>€1078.00</w:t>
            </w:r>
          </w:p>
        </w:tc>
        <w:tc>
          <w:tcPr>
            <w:tcW w:w="0" w:type="auto"/>
            <w:tcBorders>
              <w:top w:val="single" w:sz="8" w:space="0" w:color="FFFFFF"/>
              <w:left w:val="single" w:sz="8" w:space="0" w:color="FFFFFF"/>
              <w:bottom w:val="single" w:sz="8" w:space="0" w:color="FFFFFF"/>
              <w:right w:val="single" w:sz="8" w:space="0" w:color="FFFFFF"/>
            </w:tcBorders>
            <w:shd w:val="clear" w:color="auto" w:fill="E9EDF4"/>
          </w:tcPr>
          <w:p w:rsidR="00916E4B" w:rsidRPr="00187CCC" w:rsidRDefault="00916E4B" w:rsidP="00916E4B">
            <w:pPr>
              <w:pStyle w:val="ListParagraph"/>
              <w:spacing w:after="0" w:line="240" w:lineRule="auto"/>
              <w:ind w:left="0"/>
              <w:jc w:val="center"/>
            </w:pPr>
          </w:p>
        </w:tc>
      </w:tr>
    </w:tbl>
    <w:p w:rsidR="008F40D1" w:rsidRPr="00187CCC" w:rsidRDefault="008F40D1" w:rsidP="008F40D1">
      <w:pPr>
        <w:pStyle w:val="ListParagraph"/>
        <w:numPr>
          <w:ilvl w:val="1"/>
          <w:numId w:val="3"/>
        </w:numPr>
        <w:jc w:val="both"/>
      </w:pPr>
      <w:r w:rsidRPr="00187CCC">
        <w:t xml:space="preserve">The </w:t>
      </w:r>
      <w:r w:rsidR="007422CF">
        <w:t>scholarship</w:t>
      </w:r>
      <w:r w:rsidR="007422CF" w:rsidRPr="00187CCC">
        <w:t xml:space="preserve"> </w:t>
      </w:r>
      <w:r w:rsidRPr="00187CCC">
        <w:t xml:space="preserve">for the current month </w:t>
      </w:r>
      <w:r w:rsidR="007422CF">
        <w:t>will be</w:t>
      </w:r>
      <w:r w:rsidRPr="00187CCC">
        <w:t xml:space="preserve"> paid on the 10th </w:t>
      </w:r>
      <w:r w:rsidR="007422CF">
        <w:t xml:space="preserve">day </w:t>
      </w:r>
      <w:r w:rsidRPr="00187CCC">
        <w:t xml:space="preserve">of the following month, i.e. the </w:t>
      </w:r>
      <w:r w:rsidR="007422CF">
        <w:t>scholarship</w:t>
      </w:r>
      <w:r w:rsidR="007422CF" w:rsidRPr="00187CCC">
        <w:t xml:space="preserve"> </w:t>
      </w:r>
      <w:r w:rsidRPr="00187CCC">
        <w:t>for October</w:t>
      </w:r>
      <w:r w:rsidR="007422CF">
        <w:t xml:space="preserve"> will be</w:t>
      </w:r>
      <w:r w:rsidRPr="00187CCC">
        <w:t xml:space="preserve"> paid on November 10</w:t>
      </w:r>
      <w:r w:rsidR="007422CF" w:rsidRPr="007422CF">
        <w:rPr>
          <w:vertAlign w:val="superscript"/>
        </w:rPr>
        <w:t>th</w:t>
      </w:r>
      <w:r w:rsidR="007422CF">
        <w:t>.</w:t>
      </w:r>
    </w:p>
    <w:p w:rsidR="008F40D1" w:rsidRDefault="008F40D1" w:rsidP="008F40D1">
      <w:pPr>
        <w:pStyle w:val="ListParagraph"/>
        <w:numPr>
          <w:ilvl w:val="1"/>
          <w:numId w:val="3"/>
        </w:numPr>
        <w:jc w:val="both"/>
      </w:pPr>
      <w:r w:rsidRPr="00187CCC">
        <w:t>The bank account</w:t>
      </w:r>
      <w:r w:rsidR="007422CF">
        <w:t xml:space="preserve"> </w:t>
      </w:r>
      <w:r w:rsidRPr="00187CCC">
        <w:t xml:space="preserve">number </w:t>
      </w:r>
      <w:r w:rsidR="007422CF">
        <w:t>(</w:t>
      </w:r>
      <w:r w:rsidR="007422CF" w:rsidRPr="007422CF">
        <w:t>only Lithuanian bank account numbers are suitable</w:t>
      </w:r>
      <w:r w:rsidR="007422CF">
        <w:t>)</w:t>
      </w:r>
      <w:r w:rsidR="007422CF" w:rsidRPr="00187CCC">
        <w:t xml:space="preserve"> </w:t>
      </w:r>
      <w:r w:rsidR="007422CF">
        <w:t>must to be</w:t>
      </w:r>
      <w:r w:rsidRPr="00187CCC">
        <w:t xml:space="preserve"> </w:t>
      </w:r>
      <w:bookmarkStart w:id="0" w:name="_GoBack"/>
      <w:bookmarkEnd w:id="0"/>
      <w:r w:rsidRPr="00187CCC">
        <w:t>provided to the FTMC Finance Department through the self-service system of the document management system "Kontora" (DVS) (</w:t>
      </w:r>
      <w:hyperlink r:id="rId8" w:anchor="/Login " w:history="1">
        <w:r w:rsidR="007422CF" w:rsidRPr="00DC2A15">
          <w:rPr>
            <w:rStyle w:val="Hyperlink"/>
          </w:rPr>
          <w:t>https://dvs2.ftmc.lt/#/Login</w:t>
        </w:r>
      </w:hyperlink>
      <w:r w:rsidRPr="00187CCC">
        <w:t>), by filling out a request in the prescribed form</w:t>
      </w:r>
      <w:r w:rsidR="007422CF">
        <w:t xml:space="preserve"> </w:t>
      </w:r>
      <w:bookmarkStart w:id="1" w:name="_Hlk118832662"/>
      <w:r w:rsidR="007422CF">
        <w:t>(“</w:t>
      </w:r>
      <w:r w:rsidR="007422CF" w:rsidRPr="007422CF">
        <w:rPr>
          <w:i/>
          <w:lang w:val="lt-LT"/>
        </w:rPr>
        <w:t>DRR-6 - Prašymas dėl stipendijos mokėjimo</w:t>
      </w:r>
      <w:r w:rsidR="007422CF">
        <w:t>”)</w:t>
      </w:r>
      <w:bookmarkEnd w:id="1"/>
      <w:r w:rsidRPr="00187CCC">
        <w:t>.</w:t>
      </w:r>
    </w:p>
    <w:p w:rsidR="00015CC5" w:rsidRDefault="00015CC5" w:rsidP="00015CC5">
      <w:pPr>
        <w:pStyle w:val="ListParagraph"/>
        <w:numPr>
          <w:ilvl w:val="0"/>
          <w:numId w:val="3"/>
        </w:numPr>
        <w:jc w:val="both"/>
      </w:pPr>
      <w:r>
        <w:t xml:space="preserve">The Lithuanian student </w:t>
      </w:r>
      <w:r w:rsidR="00FE6166">
        <w:t>card</w:t>
      </w:r>
      <w:r>
        <w:t xml:space="preserve"> (LSP) is issued after registering </w:t>
      </w:r>
      <w:r w:rsidR="004E0632">
        <w:t xml:space="preserve">and ordering it </w:t>
      </w:r>
      <w:r>
        <w:t xml:space="preserve">at </w:t>
      </w:r>
      <w:hyperlink r:id="rId9" w:history="1">
        <w:r w:rsidRPr="00FD0E29">
          <w:rPr>
            <w:rStyle w:val="Hyperlink"/>
          </w:rPr>
          <w:t>https://lsp.lt/lt</w:t>
        </w:r>
      </w:hyperlink>
      <w:r>
        <w:t xml:space="preserve"> </w:t>
      </w:r>
    </w:p>
    <w:p w:rsidR="00015CC5" w:rsidRDefault="00015CC5" w:rsidP="00015CC5">
      <w:pPr>
        <w:pStyle w:val="ListParagraph"/>
        <w:numPr>
          <w:ilvl w:val="0"/>
          <w:numId w:val="3"/>
        </w:numPr>
        <w:jc w:val="both"/>
      </w:pPr>
      <w:r>
        <w:t xml:space="preserve">FTMC </w:t>
      </w:r>
      <w:r w:rsidR="00FE6166" w:rsidRPr="00FE6166">
        <w:t>pass cards</w:t>
      </w:r>
      <w:r>
        <w:t>, which unlock corridors/laboratory doors, are taken care of by the</w:t>
      </w:r>
      <w:r w:rsidR="00FE6166">
        <w:t xml:space="preserve"> representatives of</w:t>
      </w:r>
      <w:r>
        <w:t xml:space="preserve"> doctoral student's scientific departments: </w:t>
      </w:r>
      <w:r w:rsidR="00FE6166">
        <w:t xml:space="preserve">the </w:t>
      </w:r>
      <w:r>
        <w:t xml:space="preserve">responsible person </w:t>
      </w:r>
      <w:r w:rsidR="00FE6166">
        <w:t xml:space="preserve">has to send an </w:t>
      </w:r>
      <w:r>
        <w:t>e-mail (</w:t>
      </w:r>
      <w:hyperlink r:id="rId10" w:history="1">
        <w:r w:rsidR="002E6E71" w:rsidRPr="00FD0E29">
          <w:rPr>
            <w:rStyle w:val="Hyperlink"/>
          </w:rPr>
          <w:t xml:space="preserve">milda.tamosiunaite@ftmc.lt </w:t>
        </w:r>
      </w:hyperlink>
      <w:r w:rsidR="00817A44">
        <w:t>, room A420) provid</w:t>
      </w:r>
      <w:r w:rsidR="00FE6166">
        <w:t>ing</w:t>
      </w:r>
      <w:r w:rsidR="00817A44">
        <w:t xml:space="preserve"> information on which rooms can be unlocked with </w:t>
      </w:r>
      <w:r w:rsidR="00FE6166">
        <w:t xml:space="preserve">the pass </w:t>
      </w:r>
      <w:r w:rsidR="00817A44">
        <w:t xml:space="preserve">cards. As </w:t>
      </w:r>
      <w:r w:rsidR="00FE6166">
        <w:t xml:space="preserve">pass </w:t>
      </w:r>
      <w:r w:rsidR="00817A44">
        <w:t xml:space="preserve">cards </w:t>
      </w:r>
      <w:r w:rsidR="00FE6166">
        <w:t xml:space="preserve">also </w:t>
      </w:r>
      <w:r w:rsidR="00817A44">
        <w:t xml:space="preserve">can be programmed </w:t>
      </w:r>
      <w:r w:rsidR="00FE6166">
        <w:t>Lithuanian student cards (</w:t>
      </w:r>
      <w:r w:rsidR="00FE6166" w:rsidRPr="00FE6166">
        <w:t>every Tuesday at the security post</w:t>
      </w:r>
      <w:r w:rsidR="00FE6166">
        <w:t>)</w:t>
      </w:r>
      <w:r w:rsidR="00817A44">
        <w:t>.</w:t>
      </w:r>
    </w:p>
    <w:p w:rsidR="008F40D1" w:rsidRDefault="00D556A6" w:rsidP="00D556A6">
      <w:pPr>
        <w:pStyle w:val="Heading1"/>
        <w:spacing w:after="240"/>
      </w:pPr>
      <w:r>
        <w:t>Study plan</w:t>
      </w:r>
      <w:r w:rsidR="00FE6166">
        <w:t>s</w:t>
      </w:r>
    </w:p>
    <w:p w:rsidR="00D556A6" w:rsidRPr="00D556A6" w:rsidRDefault="00D556A6" w:rsidP="00D556A6">
      <w:pPr>
        <w:pStyle w:val="ListParagraph"/>
        <w:numPr>
          <w:ilvl w:val="0"/>
          <w:numId w:val="3"/>
        </w:numPr>
        <w:jc w:val="both"/>
      </w:pPr>
      <w:r w:rsidRPr="00D556A6">
        <w:t xml:space="preserve">Consultants can only be appointed when the doctoral topic is </w:t>
      </w:r>
      <w:r w:rsidR="00FE6166">
        <w:t>interdisciplinary</w:t>
      </w:r>
      <w:r w:rsidRPr="00D556A6">
        <w:t xml:space="preserve"> </w:t>
      </w:r>
      <w:r w:rsidR="00AC6385">
        <w:t xml:space="preserve">and the consultant is </w:t>
      </w:r>
      <w:r w:rsidRPr="00D556A6">
        <w:t>from another scientific department/institution.</w:t>
      </w:r>
    </w:p>
    <w:p w:rsidR="00E27AD9" w:rsidRDefault="00D556A6" w:rsidP="00D556A6">
      <w:pPr>
        <w:pStyle w:val="ListParagraph"/>
        <w:numPr>
          <w:ilvl w:val="0"/>
          <w:numId w:val="3"/>
        </w:numPr>
        <w:jc w:val="both"/>
      </w:pPr>
      <w:r w:rsidRPr="001D3CCA">
        <w:t>The study documents (descriptions) of the studied subjects are available on the FTMC website</w:t>
      </w:r>
      <w:r w:rsidRPr="00D556A6">
        <w:t xml:space="preserve"> </w:t>
      </w:r>
      <w:hyperlink r:id="rId11" w:history="1">
        <w:r w:rsidR="00575DA1" w:rsidRPr="00FD0E29">
          <w:rPr>
            <w:rStyle w:val="Hyperlink"/>
          </w:rPr>
          <w:t xml:space="preserve">https://www.ftmc.lt/dokumentai-3 </w:t>
        </w:r>
      </w:hyperlink>
      <w:r w:rsidR="00E27AD9">
        <w:t>. Depending on the field of study, doctoral students choose subjects from the list of compulsory and optional subjects:</w:t>
      </w:r>
    </w:p>
    <w:p w:rsidR="00E27AD9" w:rsidRDefault="00E27AD9" w:rsidP="00E27AD9">
      <w:pPr>
        <w:pStyle w:val="ListParagraph"/>
        <w:numPr>
          <w:ilvl w:val="1"/>
          <w:numId w:val="3"/>
        </w:numPr>
      </w:pPr>
      <w:r>
        <w:t xml:space="preserve">Physics major: </w:t>
      </w:r>
      <w:hyperlink r:id="rId12" w:history="1">
        <w:r w:rsidR="00B57DB6" w:rsidRPr="00E80EF5">
          <w:rPr>
            <w:rStyle w:val="Hyperlink"/>
          </w:rPr>
          <w:t>https://www.vu.lt/studijos/doktoranturos-studijos/reglamentai-ir-programu-sandai/fizikos-programos-sandai</w:t>
        </w:r>
      </w:hyperlink>
      <w:r w:rsidR="00B57DB6">
        <w:t xml:space="preserve"> </w:t>
      </w:r>
    </w:p>
    <w:p w:rsidR="00575DA1" w:rsidRDefault="00575DA1" w:rsidP="00E27AD9">
      <w:pPr>
        <w:pStyle w:val="ListParagraph"/>
        <w:numPr>
          <w:ilvl w:val="1"/>
          <w:numId w:val="3"/>
        </w:numPr>
      </w:pPr>
      <w:r>
        <w:lastRenderedPageBreak/>
        <w:t xml:space="preserve"> </w:t>
      </w:r>
      <w:r w:rsidR="00E27AD9">
        <w:t xml:space="preserve">Chemistry majors: </w:t>
      </w:r>
      <w:hyperlink r:id="rId13" w:history="1">
        <w:r w:rsidR="00B57DB6" w:rsidRPr="00E80EF5">
          <w:rPr>
            <w:rStyle w:val="Hyperlink"/>
          </w:rPr>
          <w:t>https://www.vu.lt/studijos/doktoranturos-studijos/reglamentai-ir-programu-sandai/chemijos-programos-sandai</w:t>
        </w:r>
      </w:hyperlink>
      <w:r w:rsidR="00B57DB6">
        <w:t xml:space="preserve"> </w:t>
      </w:r>
      <w:r w:rsidR="00E27AD9">
        <w:t xml:space="preserve"> </w:t>
      </w:r>
    </w:p>
    <w:p w:rsidR="00E27AD9" w:rsidRDefault="00E27AD9" w:rsidP="00E27AD9">
      <w:pPr>
        <w:pStyle w:val="ListParagraph"/>
        <w:numPr>
          <w:ilvl w:val="1"/>
          <w:numId w:val="3"/>
        </w:numPr>
      </w:pPr>
      <w:r w:rsidRPr="00E27AD9">
        <w:t xml:space="preserve">Materials engineering major: </w:t>
      </w:r>
      <w:hyperlink r:id="rId14" w:history="1">
        <w:r w:rsidR="00B57DB6" w:rsidRPr="00E80EF5">
          <w:rPr>
            <w:rStyle w:val="Hyperlink"/>
          </w:rPr>
          <w:t>https://www.vu.lt/studijos/doktoranturos-studijos/reglamentai-ir-programu-sandai/medziagu-inzinerijos-programos-sandai</w:t>
        </w:r>
      </w:hyperlink>
      <w:r w:rsidR="00B57DB6">
        <w:t xml:space="preserve"> </w:t>
      </w:r>
    </w:p>
    <w:p w:rsidR="00E27AD9" w:rsidRDefault="00E27AD9" w:rsidP="00E27AD9">
      <w:pPr>
        <w:pStyle w:val="ListParagraph"/>
        <w:numPr>
          <w:ilvl w:val="1"/>
          <w:numId w:val="3"/>
        </w:numPr>
      </w:pPr>
      <w:r w:rsidRPr="00E27AD9">
        <w:t xml:space="preserve">Electrical and electronic engineering: </w:t>
      </w:r>
      <w:hyperlink r:id="rId15" w:history="1">
        <w:r w:rsidR="00B57DB6" w:rsidRPr="00E80EF5">
          <w:rPr>
            <w:rStyle w:val="Hyperlink"/>
          </w:rPr>
          <w:t>https://www.vgtu.lt/stojantiesiems/doktoranturos-studijos/-doktoranturos-studiju-organizavimas/studiju-moduliai/283271</w:t>
        </w:r>
      </w:hyperlink>
      <w:r w:rsidR="00B57DB6">
        <w:t xml:space="preserve"> </w:t>
      </w:r>
      <w:r>
        <w:t xml:space="preserve"> </w:t>
      </w:r>
    </w:p>
    <w:p w:rsidR="00575DA1" w:rsidRDefault="00071434" w:rsidP="00C264F6">
      <w:pPr>
        <w:pStyle w:val="ListParagraph"/>
        <w:numPr>
          <w:ilvl w:val="0"/>
          <w:numId w:val="3"/>
        </w:numPr>
        <w:jc w:val="both"/>
      </w:pPr>
      <w:r w:rsidRPr="00071434">
        <w:t xml:space="preserve">The scope of doctoral studies amounts to at least 30 credits </w:t>
      </w:r>
      <w:r w:rsidR="00575DA1">
        <w:t>(ECTS): 25</w:t>
      </w:r>
      <w:r w:rsidR="00180EE1">
        <w:t xml:space="preserve"> – </w:t>
      </w:r>
      <w:r w:rsidR="00575DA1">
        <w:t xml:space="preserve">27 ECTS for studied </w:t>
      </w:r>
      <w:r w:rsidR="00180EE1">
        <w:t xml:space="preserve">subjects </w:t>
      </w:r>
      <w:r w:rsidR="00575DA1">
        <w:t>and 3</w:t>
      </w:r>
      <w:r w:rsidR="00180EE1">
        <w:t xml:space="preserve"> – </w:t>
      </w:r>
      <w:r w:rsidR="00575DA1">
        <w:t>5 ECTS for activities that strengthen general abilities.</w:t>
      </w:r>
    </w:p>
    <w:p w:rsidR="00575DA1" w:rsidRDefault="00575DA1" w:rsidP="00C264F6">
      <w:pPr>
        <w:pStyle w:val="ListParagraph"/>
        <w:numPr>
          <w:ilvl w:val="0"/>
          <w:numId w:val="3"/>
        </w:numPr>
        <w:jc w:val="both"/>
      </w:pPr>
      <w:r>
        <w:t>A doctoral student studies at least 3 subjects (depends on the field of study and the number of credits assigned to the selected study subjects). The exams must be passed during the first two years of study.</w:t>
      </w:r>
    </w:p>
    <w:p w:rsidR="007F2427" w:rsidRDefault="007F2427" w:rsidP="00C264F6">
      <w:pPr>
        <w:pStyle w:val="ListParagraph"/>
        <w:numPr>
          <w:ilvl w:val="0"/>
          <w:numId w:val="3"/>
        </w:numPr>
        <w:jc w:val="both"/>
      </w:pPr>
      <w:r>
        <w:t xml:space="preserve">The studies of each subject are completed with an exam. Passed exams are recorded in the </w:t>
      </w:r>
      <w:r w:rsidR="00874A03" w:rsidRPr="00874A03">
        <w:t xml:space="preserve">examination </w:t>
      </w:r>
      <w:r>
        <w:t>protocol (the template</w:t>
      </w:r>
      <w:r w:rsidR="00C03944">
        <w:t xml:space="preserve"> (</w:t>
      </w:r>
      <w:r w:rsidR="00ED58D8">
        <w:t>“</w:t>
      </w:r>
      <w:r w:rsidR="00ED58D8" w:rsidRPr="008D10EF">
        <w:rPr>
          <w:i/>
          <w:lang w:val="lt-LT"/>
        </w:rPr>
        <w:t>Egzaminų laikymo protokolas</w:t>
      </w:r>
      <w:r w:rsidR="00ED58D8">
        <w:t>”</w:t>
      </w:r>
      <w:r w:rsidR="00C03944">
        <w:t>)</w:t>
      </w:r>
      <w:r>
        <w:t xml:space="preserve"> is available on the FTMC website </w:t>
      </w:r>
      <w:hyperlink r:id="rId16" w:history="1">
        <w:r w:rsidRPr="00FD0E29">
          <w:rPr>
            <w:rStyle w:val="Hyperlink"/>
          </w:rPr>
          <w:t xml:space="preserve">https://www.ftmc.lt/dokumentai-3 </w:t>
        </w:r>
      </w:hyperlink>
      <w:r>
        <w:t>).</w:t>
      </w:r>
    </w:p>
    <w:p w:rsidR="003B2A65" w:rsidRPr="00D556A6" w:rsidRDefault="003B2A65" w:rsidP="003B2A65">
      <w:pPr>
        <w:pStyle w:val="ListParagraph"/>
        <w:numPr>
          <w:ilvl w:val="0"/>
          <w:numId w:val="3"/>
        </w:numPr>
        <w:jc w:val="both"/>
      </w:pPr>
      <w:r w:rsidRPr="00D556A6">
        <w:t>Requests for the formation of the examination committee are submitted through DVS S</w:t>
      </w:r>
      <w:r w:rsidR="000E0085">
        <w:t>elf-s</w:t>
      </w:r>
      <w:r w:rsidRPr="00D556A6">
        <w:t>ervice (</w:t>
      </w:r>
      <w:hyperlink r:id="rId17" w:anchor="/Login" w:history="1">
        <w:r w:rsidRPr="00FD0E29">
          <w:rPr>
            <w:rStyle w:val="Hyperlink"/>
          </w:rPr>
          <w:t>https://dvs2.ftmc.lt/#/Login</w:t>
        </w:r>
      </w:hyperlink>
      <w:r w:rsidR="00AC3FB4">
        <w:t xml:space="preserve">, </w:t>
      </w:r>
      <w:bookmarkStart w:id="2" w:name="_Hlk119342765"/>
      <w:r w:rsidR="00AC3FB4">
        <w:t>“</w:t>
      </w:r>
      <w:r w:rsidR="00AC3FB4" w:rsidRPr="00AC3FB4">
        <w:rPr>
          <w:i/>
        </w:rPr>
        <w:t xml:space="preserve">DRR-20 - </w:t>
      </w:r>
      <w:r w:rsidR="00AC3FB4" w:rsidRPr="008D10EF">
        <w:rPr>
          <w:i/>
          <w:lang w:val="lt-LT"/>
        </w:rPr>
        <w:t>Prašymas dėl egzamino komisijos sudarymo</w:t>
      </w:r>
      <w:r w:rsidR="00AC3FB4">
        <w:t>”</w:t>
      </w:r>
      <w:bookmarkEnd w:id="2"/>
      <w:r w:rsidR="00AC3FB4">
        <w:t>)</w:t>
      </w:r>
      <w:r w:rsidRPr="00D556A6">
        <w:t xml:space="preserve">, orders are prepared by Rasa </w:t>
      </w:r>
      <w:proofErr w:type="spellStart"/>
      <w:r>
        <w:t>Kromkut</w:t>
      </w:r>
      <w:r w:rsidR="00874A03">
        <w:t>ė</w:t>
      </w:r>
      <w:proofErr w:type="spellEnd"/>
      <w:r>
        <w:t xml:space="preserve"> (room D417, </w:t>
      </w:r>
      <w:hyperlink r:id="rId18" w:history="1">
        <w:r w:rsidRPr="00FD0E29">
          <w:rPr>
            <w:rStyle w:val="Hyperlink"/>
          </w:rPr>
          <w:t xml:space="preserve">rasa.kromkute@ftmc.lt </w:t>
        </w:r>
      </w:hyperlink>
      <w:r>
        <w:t>)</w:t>
      </w:r>
    </w:p>
    <w:p w:rsidR="007F2427" w:rsidRPr="00D556A6" w:rsidRDefault="007F2427" w:rsidP="007F2427">
      <w:pPr>
        <w:pStyle w:val="ListParagraph"/>
        <w:numPr>
          <w:ilvl w:val="0"/>
          <w:numId w:val="3"/>
        </w:numPr>
        <w:jc w:val="both"/>
      </w:pPr>
      <w:r>
        <w:t xml:space="preserve">After passing all the exams, the </w:t>
      </w:r>
      <w:r w:rsidR="00874A03" w:rsidRPr="00874A03">
        <w:t xml:space="preserve">examination </w:t>
      </w:r>
      <w:r w:rsidR="000E0085">
        <w:t>protocol has to be</w:t>
      </w:r>
      <w:r>
        <w:t xml:space="preserve"> submitted to the FTMC Scientific Information and Doctorate Department (room D412/D409).</w:t>
      </w:r>
    </w:p>
    <w:p w:rsidR="00A873E5" w:rsidRDefault="00575DA1" w:rsidP="00C264F6">
      <w:pPr>
        <w:pStyle w:val="ListParagraph"/>
        <w:numPr>
          <w:ilvl w:val="0"/>
          <w:numId w:val="3"/>
        </w:numPr>
        <w:jc w:val="both"/>
      </w:pPr>
      <w:r>
        <w:t xml:space="preserve">A doctoral student must receive </w:t>
      </w:r>
      <w:r w:rsidR="008D10EF">
        <w:t>from</w:t>
      </w:r>
      <w:r>
        <w:t xml:space="preserve"> 3</w:t>
      </w:r>
      <w:r w:rsidR="008D10EF">
        <w:t xml:space="preserve"> to 5</w:t>
      </w:r>
      <w:r>
        <w:t xml:space="preserve"> ECTS credits for </w:t>
      </w:r>
      <w:r w:rsidR="006606D0" w:rsidRPr="006606D0">
        <w:t>the development of general skills (i.e.</w:t>
      </w:r>
      <w:r w:rsidR="006606D0">
        <w:t xml:space="preserve"> </w:t>
      </w:r>
      <w:r w:rsidR="006606D0" w:rsidRPr="006606D0">
        <w:t>preparation of project applications, scientific writing, academic ethics, intellectual property, entrepreneurship, communication skills, etc.)</w:t>
      </w:r>
    </w:p>
    <w:p w:rsidR="00D556A6" w:rsidRDefault="005321CD" w:rsidP="00C264F6">
      <w:pPr>
        <w:pStyle w:val="ListParagraph"/>
        <w:numPr>
          <w:ilvl w:val="0"/>
          <w:numId w:val="3"/>
        </w:numPr>
        <w:jc w:val="both"/>
      </w:pPr>
      <w:r w:rsidRPr="005321CD">
        <w:t xml:space="preserve">The decision concerning endorsement of additional credits shall be taken by the Committee </w:t>
      </w:r>
      <w:r w:rsidR="00575DA1">
        <w:t xml:space="preserve">upon submission of an application, a certificate confirming the credits received or participation in an internship and a completed table of activities that strengthen General abilities in the prescribed form (templates of the application and table are available on the FTMC website </w:t>
      </w:r>
      <w:hyperlink r:id="rId19" w:history="1">
        <w:r w:rsidR="00046A37" w:rsidRPr="00FD0E29">
          <w:rPr>
            <w:rStyle w:val="Hyperlink"/>
          </w:rPr>
          <w:t>https://www.ftmc.lt/dokumentai -3</w:t>
        </w:r>
      </w:hyperlink>
      <w:r w:rsidR="008D10EF">
        <w:t>, “</w:t>
      </w:r>
      <w:r w:rsidR="008D10EF" w:rsidRPr="008D10EF">
        <w:rPr>
          <w:i/>
          <w:lang w:val="lt-LT"/>
        </w:rPr>
        <w:t>Bendruosius gebėjimus stiprinančios veiklos lentelė</w:t>
      </w:r>
      <w:r w:rsidR="008D10EF">
        <w:t>”)</w:t>
      </w:r>
      <w:r w:rsidR="00046A37">
        <w:t>.</w:t>
      </w:r>
    </w:p>
    <w:p w:rsidR="00CD552D" w:rsidRDefault="00CD552D" w:rsidP="00C264F6">
      <w:pPr>
        <w:pStyle w:val="ListParagraph"/>
        <w:numPr>
          <w:ilvl w:val="0"/>
          <w:numId w:val="3"/>
        </w:numPr>
        <w:jc w:val="both"/>
      </w:pPr>
      <w:r>
        <w:t>When preparing the study plan, it is necessary to plan to present the obtained research results at at least 2 international scientific conferences (Article 67.3 of the Regulation).</w:t>
      </w:r>
    </w:p>
    <w:p w:rsidR="00CD552D" w:rsidRDefault="00CD552D" w:rsidP="00C264F6">
      <w:pPr>
        <w:pStyle w:val="ListParagraph"/>
        <w:numPr>
          <w:ilvl w:val="0"/>
          <w:numId w:val="3"/>
        </w:numPr>
        <w:jc w:val="both"/>
      </w:pPr>
      <w:r>
        <w:t xml:space="preserve">Depending on the field of study, you should plan to publish the </w:t>
      </w:r>
      <w:r w:rsidR="0039347A">
        <w:t xml:space="preserve">main </w:t>
      </w:r>
      <w:r>
        <w:t xml:space="preserve">results of your research in at least two (Physics field - three) </w:t>
      </w:r>
      <w:r w:rsidR="001B388F">
        <w:t xml:space="preserve">articles </w:t>
      </w:r>
      <w:r w:rsidR="001B388F" w:rsidRPr="0039347A">
        <w:t>in</w:t>
      </w:r>
      <w:r w:rsidR="0039347A" w:rsidRPr="0039347A">
        <w:t xml:space="preserve"> peer reviewed </w:t>
      </w:r>
      <w:r>
        <w:t xml:space="preserve">international </w:t>
      </w:r>
      <w:r w:rsidR="0039347A">
        <w:t>research</w:t>
      </w:r>
      <w:r>
        <w:t xml:space="preserve"> </w:t>
      </w:r>
      <w:r w:rsidR="00164DBB">
        <w:t>journals</w:t>
      </w:r>
      <w:r>
        <w:t xml:space="preserve"> with a </w:t>
      </w:r>
      <w:r w:rsidR="00BF523B">
        <w:t xml:space="preserve">citation index </w:t>
      </w:r>
      <w:r w:rsidR="0039347A">
        <w:t xml:space="preserve">in the </w:t>
      </w:r>
      <w:r w:rsidR="00BF523B" w:rsidRPr="0039347A">
        <w:rPr>
          <w:i/>
        </w:rPr>
        <w:t>Clarivate Analytics Web of Science</w:t>
      </w:r>
      <w:r w:rsidR="00BF523B">
        <w:t xml:space="preserve"> (</w:t>
      </w:r>
      <w:r w:rsidR="00BF523B" w:rsidRPr="0039347A">
        <w:rPr>
          <w:i/>
        </w:rPr>
        <w:t xml:space="preserve">CA </w:t>
      </w:r>
      <w:proofErr w:type="spellStart"/>
      <w:r w:rsidR="00BF523B" w:rsidRPr="0039347A">
        <w:rPr>
          <w:i/>
        </w:rPr>
        <w:t>WoS</w:t>
      </w:r>
      <w:proofErr w:type="spellEnd"/>
      <w:r w:rsidR="00BF523B">
        <w:t>) database</w:t>
      </w:r>
      <w:r w:rsidR="0039347A">
        <w:t>.</w:t>
      </w:r>
    </w:p>
    <w:p w:rsidR="00046A37" w:rsidRDefault="00CD552D" w:rsidP="00046A37">
      <w:pPr>
        <w:pStyle w:val="Heading1"/>
        <w:spacing w:after="240"/>
      </w:pPr>
      <w:r>
        <w:t>Participation in conferences/internships</w:t>
      </w:r>
    </w:p>
    <w:p w:rsidR="00697F48" w:rsidRDefault="00697F48" w:rsidP="00C264F6">
      <w:pPr>
        <w:pStyle w:val="ListParagraph"/>
        <w:numPr>
          <w:ilvl w:val="0"/>
          <w:numId w:val="3"/>
        </w:numPr>
        <w:jc w:val="both"/>
      </w:pPr>
      <w:r w:rsidRPr="00B645D4">
        <w:t xml:space="preserve">Travel expenses </w:t>
      </w:r>
      <w:r w:rsidR="00AE0E5C" w:rsidRPr="00B645D4">
        <w:t>can be</w:t>
      </w:r>
      <w:r w:rsidRPr="00B645D4">
        <w:t xml:space="preserve"> financed from funds allocated for doctoral studies or from other sources. The</w:t>
      </w:r>
      <w:r>
        <w:t xml:space="preserve"> costs of the trip can also be covered by projects or programs administered by the Lithuanian </w:t>
      </w:r>
      <w:r w:rsidR="00AE0E5C">
        <w:t>Research</w:t>
      </w:r>
      <w:r>
        <w:t xml:space="preserve"> Council, the host institution and other sources.</w:t>
      </w:r>
    </w:p>
    <w:p w:rsidR="00D556A6" w:rsidRDefault="00046A37" w:rsidP="00D556A6">
      <w:pPr>
        <w:pStyle w:val="ListParagraph"/>
        <w:numPr>
          <w:ilvl w:val="0"/>
          <w:numId w:val="3"/>
        </w:numPr>
        <w:jc w:val="both"/>
      </w:pPr>
      <w:r>
        <w:t xml:space="preserve">Requests for secondments (internships) </w:t>
      </w:r>
      <w:r w:rsidR="00AE0E5C">
        <w:t>has to be</w:t>
      </w:r>
      <w:r>
        <w:t xml:space="preserve"> submitted through the DVS Self-Service system (</w:t>
      </w:r>
      <w:hyperlink r:id="rId20" w:anchor="/Login" w:history="1">
        <w:r w:rsidR="00AE0E5C" w:rsidRPr="00E80EF5">
          <w:rPr>
            <w:rStyle w:val="Hyperlink"/>
          </w:rPr>
          <w:t>https://dvs2.ftmc.lt/#/Login</w:t>
        </w:r>
      </w:hyperlink>
      <w:r w:rsidR="00687302">
        <w:t xml:space="preserve">, </w:t>
      </w:r>
      <w:bookmarkStart w:id="3" w:name="_Hlk119931752"/>
      <w:r w:rsidR="003C2E2E">
        <w:t>“</w:t>
      </w:r>
      <w:r w:rsidR="00687302" w:rsidRPr="003C2E2E">
        <w:rPr>
          <w:i/>
        </w:rPr>
        <w:t xml:space="preserve">DRR-3 - </w:t>
      </w:r>
      <w:proofErr w:type="spellStart"/>
      <w:r w:rsidR="00687302" w:rsidRPr="003C2E2E">
        <w:rPr>
          <w:i/>
        </w:rPr>
        <w:t>Komandiruotės</w:t>
      </w:r>
      <w:proofErr w:type="spellEnd"/>
      <w:r w:rsidR="00687302" w:rsidRPr="003C2E2E">
        <w:rPr>
          <w:i/>
        </w:rPr>
        <w:t xml:space="preserve"> </w:t>
      </w:r>
      <w:proofErr w:type="spellStart"/>
      <w:r w:rsidR="00687302" w:rsidRPr="003C2E2E">
        <w:rPr>
          <w:i/>
        </w:rPr>
        <w:t>prašymas</w:t>
      </w:r>
      <w:proofErr w:type="spellEnd"/>
      <w:r w:rsidR="003C2E2E">
        <w:t>”</w:t>
      </w:r>
      <w:bookmarkEnd w:id="3"/>
      <w:r w:rsidR="003C2E2E">
        <w:t>)</w:t>
      </w:r>
      <w:r w:rsidRPr="00D556A6">
        <w:t xml:space="preserve"> before starting the purchases related to the secondment (conference fee, travel tickets, </w:t>
      </w:r>
      <w:r w:rsidR="00AE0E5C">
        <w:t>accommodation</w:t>
      </w:r>
      <w:r w:rsidRPr="00D556A6">
        <w:t>, etc.).</w:t>
      </w:r>
    </w:p>
    <w:p w:rsidR="00046A37" w:rsidRDefault="00046A37" w:rsidP="00D556A6">
      <w:pPr>
        <w:pStyle w:val="ListParagraph"/>
        <w:numPr>
          <w:ilvl w:val="0"/>
          <w:numId w:val="3"/>
        </w:numPr>
        <w:jc w:val="both"/>
      </w:pPr>
      <w:r>
        <w:t xml:space="preserve">A secondment request must also be submitted if the conference </w:t>
      </w:r>
      <w:r w:rsidR="00AE0E5C">
        <w:t>will be</w:t>
      </w:r>
      <w:r>
        <w:t xml:space="preserve"> attended remotely, but the </w:t>
      </w:r>
      <w:r w:rsidR="00AE0E5C">
        <w:t xml:space="preserve">conference </w:t>
      </w:r>
      <w:r>
        <w:t xml:space="preserve">fee </w:t>
      </w:r>
      <w:r w:rsidR="00B21E26">
        <w:t>must</w:t>
      </w:r>
      <w:r w:rsidR="00AE0E5C">
        <w:t xml:space="preserve"> be</w:t>
      </w:r>
      <w:r>
        <w:t xml:space="preserve"> pa</w:t>
      </w:r>
      <w:r w:rsidR="00B21E26">
        <w:t>i</w:t>
      </w:r>
      <w:r w:rsidR="00AE0E5C">
        <w:t>d</w:t>
      </w:r>
      <w:r>
        <w:t>.</w:t>
      </w:r>
    </w:p>
    <w:p w:rsidR="00046A37" w:rsidRDefault="00046A37" w:rsidP="00D556A6">
      <w:pPr>
        <w:pStyle w:val="ListParagraph"/>
        <w:numPr>
          <w:ilvl w:val="0"/>
          <w:numId w:val="3"/>
        </w:numPr>
        <w:jc w:val="both"/>
      </w:pPr>
      <w:r>
        <w:t xml:space="preserve">Upon returning from the </w:t>
      </w:r>
      <w:r w:rsidR="00B645D4">
        <w:t>secondment (</w:t>
      </w:r>
      <w:r>
        <w:t>internship</w:t>
      </w:r>
      <w:r w:rsidR="00B645D4">
        <w:t>)</w:t>
      </w:r>
      <w:r>
        <w:t xml:space="preserve">, an advance statement (can be downloaded from the FTMC Intranet, </w:t>
      </w:r>
      <w:hyperlink r:id="rId21" w:history="1">
        <w:r w:rsidRPr="00FD0E29">
          <w:rPr>
            <w:rStyle w:val="Hyperlink"/>
          </w:rPr>
          <w:t>https://intranet.ftmc.lt/?page_id=2070</w:t>
        </w:r>
      </w:hyperlink>
      <w:r>
        <w:t>) with supporting documents (invoices, bank statements, tickets, etc.) and a business trip report (free form)</w:t>
      </w:r>
      <w:r w:rsidR="00B645D4">
        <w:t xml:space="preserve"> has to be provided to </w:t>
      </w:r>
      <w:r w:rsidR="00A15F1E">
        <w:t xml:space="preserve">the </w:t>
      </w:r>
      <w:r w:rsidR="00B645D4">
        <w:t>Finance Department (</w:t>
      </w:r>
      <w:proofErr w:type="spellStart"/>
      <w:r w:rsidR="00B645D4">
        <w:t>Virgyna</w:t>
      </w:r>
      <w:proofErr w:type="spellEnd"/>
      <w:r w:rsidR="00B645D4">
        <w:t xml:space="preserve"> </w:t>
      </w:r>
      <w:proofErr w:type="spellStart"/>
      <w:r w:rsidR="00B645D4">
        <w:t>Siliukienė</w:t>
      </w:r>
      <w:proofErr w:type="spellEnd"/>
      <w:r w:rsidR="00B645D4">
        <w:t>, room D407)</w:t>
      </w:r>
      <w:r>
        <w:t>.</w:t>
      </w:r>
    </w:p>
    <w:p w:rsidR="006C06FA" w:rsidRDefault="006C06FA" w:rsidP="00D556A6">
      <w:pPr>
        <w:pStyle w:val="ListParagraph"/>
        <w:numPr>
          <w:ilvl w:val="0"/>
          <w:numId w:val="3"/>
        </w:numPr>
        <w:jc w:val="both"/>
      </w:pPr>
      <w:r w:rsidRPr="006C06FA">
        <w:lastRenderedPageBreak/>
        <w:t>Business trip</w:t>
      </w:r>
      <w:r>
        <w:t xml:space="preserve"> (secondment)</w:t>
      </w:r>
      <w:r w:rsidRPr="006C06FA">
        <w:t xml:space="preserve"> memo</w:t>
      </w:r>
      <w:r>
        <w:t xml:space="preserve">: </w:t>
      </w:r>
      <w:hyperlink r:id="rId22" w:history="1">
        <w:r w:rsidRPr="00E80EF5">
          <w:rPr>
            <w:rStyle w:val="Hyperlink"/>
          </w:rPr>
          <w:t>https://www.ftmc.lt/komandiruociu-atmintine</w:t>
        </w:r>
      </w:hyperlink>
      <w:r>
        <w:t xml:space="preserve"> </w:t>
      </w:r>
    </w:p>
    <w:p w:rsidR="00697F48" w:rsidRPr="00D556A6" w:rsidRDefault="00CD552D" w:rsidP="00CD552D">
      <w:pPr>
        <w:pStyle w:val="Heading1"/>
        <w:spacing w:after="240"/>
      </w:pPr>
      <w:r w:rsidRPr="00D556A6">
        <w:t>Publications</w:t>
      </w:r>
    </w:p>
    <w:p w:rsidR="00D556A6" w:rsidRDefault="00A15F1E" w:rsidP="00D556A6">
      <w:pPr>
        <w:pStyle w:val="ListParagraph"/>
        <w:numPr>
          <w:ilvl w:val="0"/>
          <w:numId w:val="3"/>
        </w:numPr>
        <w:jc w:val="both"/>
      </w:pPr>
      <w:r>
        <w:t>Published</w:t>
      </w:r>
      <w:r w:rsidR="00015CC5">
        <w:t xml:space="preserve"> scientific publications (with pages) </w:t>
      </w:r>
      <w:r>
        <w:t>must be</w:t>
      </w:r>
      <w:r w:rsidR="00015CC5">
        <w:t xml:space="preserve"> registered by filling out and submitting a request template in the DVS Self-Service system (</w:t>
      </w:r>
      <w:hyperlink r:id="rId23" w:anchor="/Login" w:history="1">
        <w:r w:rsidR="00015CC5" w:rsidRPr="00FD0E29">
          <w:rPr>
            <w:rStyle w:val="Hyperlink"/>
          </w:rPr>
          <w:t>https://dvs2.ftmc.lt/#/Login</w:t>
        </w:r>
      </w:hyperlink>
      <w:r>
        <w:t>, “</w:t>
      </w:r>
      <w:r w:rsidRPr="00D559FF">
        <w:rPr>
          <w:i/>
          <w:lang w:val="lt-LT"/>
        </w:rPr>
        <w:t>DRR-2 - Prašymas dėl publikacijų registravimo</w:t>
      </w:r>
      <w:r>
        <w:t>”)</w:t>
      </w:r>
      <w:r w:rsidR="00015CC5" w:rsidRPr="00D556A6">
        <w:t>.</w:t>
      </w:r>
    </w:p>
    <w:p w:rsidR="00015CC5" w:rsidRDefault="00015CC5" w:rsidP="00D556A6">
      <w:pPr>
        <w:pStyle w:val="ListParagraph"/>
        <w:numPr>
          <w:ilvl w:val="0"/>
          <w:numId w:val="3"/>
        </w:numPr>
        <w:jc w:val="both"/>
      </w:pPr>
      <w:r>
        <w:t>Each scientific department sets its own procedure, who in the department is responsible for regist</w:t>
      </w:r>
      <w:r w:rsidR="00D559FF">
        <w:t>ration of</w:t>
      </w:r>
      <w:r>
        <w:t xml:space="preserve"> scientific publication</w:t>
      </w:r>
      <w:r w:rsidR="00D559FF">
        <w:t>s</w:t>
      </w:r>
      <w:r w:rsidR="0050140A">
        <w:t xml:space="preserve"> (e.g. </w:t>
      </w:r>
      <w:r w:rsidR="0050140A" w:rsidRPr="0050140A">
        <w:t>appointed responsible person</w:t>
      </w:r>
      <w:r w:rsidR="0050140A">
        <w:t xml:space="preserve"> or first/corresponding </w:t>
      </w:r>
      <w:r w:rsidR="00D13162">
        <w:t>author</w:t>
      </w:r>
      <w:r w:rsidR="0050140A">
        <w:t>)</w:t>
      </w:r>
      <w:r>
        <w:t>.</w:t>
      </w:r>
    </w:p>
    <w:p w:rsidR="004046C8" w:rsidRDefault="004046C8" w:rsidP="004046C8">
      <w:pPr>
        <w:pStyle w:val="Heading1"/>
      </w:pPr>
      <w:r>
        <w:t>Attestation of doctoral students</w:t>
      </w:r>
    </w:p>
    <w:p w:rsidR="00ED5B91" w:rsidRDefault="00ED5B91" w:rsidP="00C264F6">
      <w:pPr>
        <w:pStyle w:val="ListParagraph"/>
        <w:numPr>
          <w:ilvl w:val="0"/>
          <w:numId w:val="3"/>
        </w:numPr>
        <w:jc w:val="both"/>
      </w:pPr>
      <w:r>
        <w:t xml:space="preserve">At the end of each year of doctoral studies, the </w:t>
      </w:r>
      <w:r w:rsidR="00D03F94" w:rsidRPr="00D03F94">
        <w:t xml:space="preserve">attestation of doctoral students is being carried out </w:t>
      </w:r>
      <w:r>
        <w:t>for the implementation of the doctoral student's work plan according to the procedure established by the Doctoral Committees (</w:t>
      </w:r>
      <w:r w:rsidR="00D03F94">
        <w:t xml:space="preserve">the lists of the </w:t>
      </w:r>
      <w:r>
        <w:t xml:space="preserve">Committees are available on the FTMC website </w:t>
      </w:r>
      <w:hyperlink r:id="rId24" w:history="1">
        <w:r w:rsidRPr="00FD0E29">
          <w:rPr>
            <w:rStyle w:val="Hyperlink"/>
          </w:rPr>
          <w:t>https://www.ftmc.lt/dokumentai-3</w:t>
        </w:r>
      </w:hyperlink>
      <w:r>
        <w:t>).</w:t>
      </w:r>
    </w:p>
    <w:p w:rsidR="004046C8" w:rsidRDefault="00ED5B91" w:rsidP="00ED5B91">
      <w:pPr>
        <w:pStyle w:val="ListParagraph"/>
        <w:numPr>
          <w:ilvl w:val="0"/>
          <w:numId w:val="3"/>
        </w:numPr>
        <w:jc w:val="both"/>
      </w:pPr>
      <w:r>
        <w:t xml:space="preserve">Attestation of doctoral students takes place once a year (at the end of October), doctoral students of the LMT competitive doctoral program </w:t>
      </w:r>
      <w:r w:rsidR="00D03F94">
        <w:t>–</w:t>
      </w:r>
      <w:r>
        <w:t xml:space="preserve"> twice a year. Doctoral students are informed about the specific dates of attestation and submission of documents by official FTMC e-mail (</w:t>
      </w:r>
      <w:proofErr w:type="spellStart"/>
      <w:r w:rsidR="00716BCB">
        <w:rPr>
          <w:i/>
        </w:rPr>
        <w:t>name</w:t>
      </w:r>
      <w:r>
        <w:rPr>
          <w:i/>
        </w:rPr>
        <w:t>.</w:t>
      </w:r>
      <w:r w:rsidR="00716BCB">
        <w:rPr>
          <w:i/>
        </w:rPr>
        <w:t>surname</w:t>
      </w:r>
      <w:r>
        <w:rPr>
          <w:i/>
        </w:rPr>
        <w:t>@ftmc.lt</w:t>
      </w:r>
      <w:proofErr w:type="spellEnd"/>
      <w:r w:rsidRPr="00ED5B91">
        <w:t>).</w:t>
      </w:r>
    </w:p>
    <w:p w:rsidR="006F00F6" w:rsidRDefault="00ED5B91" w:rsidP="00ED5B91">
      <w:pPr>
        <w:pStyle w:val="ListParagraph"/>
        <w:numPr>
          <w:ilvl w:val="0"/>
          <w:numId w:val="3"/>
        </w:numPr>
        <w:jc w:val="both"/>
      </w:pPr>
      <w:r w:rsidRPr="00D03F94">
        <w:rPr>
          <w:lang w:val="en-GB"/>
        </w:rPr>
        <w:t>During</w:t>
      </w:r>
      <w:r>
        <w:t xml:space="preserve"> the attestation, doctoral students must submit a report in the prescribed form (provided on the FTMC website </w:t>
      </w:r>
      <w:hyperlink r:id="rId25" w:history="1">
        <w:r w:rsidRPr="00FD0E29">
          <w:rPr>
            <w:rStyle w:val="Hyperlink"/>
          </w:rPr>
          <w:t>https://www.ftmc.lt/dokumentai-3</w:t>
        </w:r>
      </w:hyperlink>
      <w:r>
        <w:t xml:space="preserve">), the supervisor's feedback and a protocol </w:t>
      </w:r>
      <w:r w:rsidR="00D03F94">
        <w:t>of student</w:t>
      </w:r>
      <w:r>
        <w:t xml:space="preserve"> </w:t>
      </w:r>
      <w:r w:rsidR="00D03F94">
        <w:t xml:space="preserve">consideration at </w:t>
      </w:r>
      <w:r>
        <w:t xml:space="preserve">the </w:t>
      </w:r>
      <w:r w:rsidR="00D03F94">
        <w:t xml:space="preserve">meeting of scientific </w:t>
      </w:r>
      <w:r>
        <w:t xml:space="preserve">department. All documents must be signed. Documents must be submitted by e-mail </w:t>
      </w:r>
      <w:hyperlink r:id="rId26" w:history="1">
        <w:r w:rsidR="00D65234" w:rsidRPr="00FD0E29">
          <w:rPr>
            <w:rStyle w:val="Hyperlink"/>
          </w:rPr>
          <w:t>doktorantura</w:t>
        </w:r>
      </w:hyperlink>
      <w:hyperlink r:id="rId27" w:history="1">
        <w:r w:rsidR="00D65234" w:rsidRPr="00FD0E29">
          <w:rPr>
            <w:rStyle w:val="Hyperlink"/>
            <w:lang w:val="en-US"/>
          </w:rPr>
          <w:t>@</w:t>
        </w:r>
      </w:hyperlink>
      <w:hyperlink r:id="rId28" w:history="1"/>
      <w:hyperlink r:id="rId29" w:history="1">
        <w:r w:rsidR="00D65234" w:rsidRPr="00FD0E29">
          <w:rPr>
            <w:rStyle w:val="Hyperlink"/>
          </w:rPr>
          <w:t xml:space="preserve">ftmc.lt </w:t>
        </w:r>
      </w:hyperlink>
      <w:hyperlink r:id="rId30" w:history="1"/>
      <w:r w:rsidR="00D65234">
        <w:t>or delivered to room D409. (document case for "Scientific Secretary")</w:t>
      </w:r>
      <w:r w:rsidR="00D03F94">
        <w:t>.</w:t>
      </w:r>
    </w:p>
    <w:p w:rsidR="006F00F6" w:rsidRDefault="006F00F6" w:rsidP="00ED5B91">
      <w:pPr>
        <w:pStyle w:val="ListParagraph"/>
        <w:numPr>
          <w:ilvl w:val="0"/>
          <w:numId w:val="3"/>
        </w:numPr>
        <w:jc w:val="both"/>
      </w:pPr>
      <w:r>
        <w:t>Attestation differences depend</w:t>
      </w:r>
      <w:r w:rsidR="00987802">
        <w:t>s</w:t>
      </w:r>
      <w:r>
        <w:t xml:space="preserve"> on the field of study:</w:t>
      </w:r>
    </w:p>
    <w:p w:rsidR="00ED5B91" w:rsidRDefault="00D03F94" w:rsidP="0071131A">
      <w:pPr>
        <w:pStyle w:val="ListParagraph"/>
        <w:numPr>
          <w:ilvl w:val="1"/>
          <w:numId w:val="3"/>
        </w:numPr>
        <w:ind w:left="1080" w:hanging="720"/>
        <w:jc w:val="both"/>
      </w:pPr>
      <w:r>
        <w:t xml:space="preserve">Doctoral </w:t>
      </w:r>
      <w:r w:rsidR="00ED5B91">
        <w:t xml:space="preserve">students in </w:t>
      </w:r>
      <w:r w:rsidR="0071131A">
        <w:t>P</w:t>
      </w:r>
      <w:r w:rsidR="00ED5B91">
        <w:t xml:space="preserve">hysics </w:t>
      </w:r>
      <w:r>
        <w:t xml:space="preserve">and Materials engineering fields </w:t>
      </w:r>
      <w:r w:rsidR="00ED5B91">
        <w:t xml:space="preserve">do not need to submit a </w:t>
      </w:r>
      <w:r w:rsidR="0071131A">
        <w:t>protocol of student consideration at the meeting of scientific department</w:t>
      </w:r>
      <w:r w:rsidR="00ED5B91">
        <w:t>.</w:t>
      </w:r>
    </w:p>
    <w:p w:rsidR="009C067C" w:rsidRDefault="009C067C" w:rsidP="0071131A">
      <w:pPr>
        <w:pStyle w:val="ListParagraph"/>
        <w:numPr>
          <w:ilvl w:val="1"/>
          <w:numId w:val="3"/>
        </w:numPr>
        <w:ind w:left="1080" w:hanging="720"/>
        <w:jc w:val="both"/>
      </w:pPr>
      <w:r>
        <w:t xml:space="preserve">Doctoral students in the field of </w:t>
      </w:r>
      <w:r w:rsidR="0071131A">
        <w:t>C</w:t>
      </w:r>
      <w:r>
        <w:t>hemistry must also submit all the listed documents in WORD format (</w:t>
      </w:r>
      <w:r w:rsidR="00996094">
        <w:t xml:space="preserve">by </w:t>
      </w:r>
      <w:r>
        <w:t xml:space="preserve">e-mail </w:t>
      </w:r>
      <w:hyperlink r:id="rId31" w:history="1">
        <w:r w:rsidR="00D65234" w:rsidRPr="00FD0E29">
          <w:rPr>
            <w:rStyle w:val="Hyperlink"/>
          </w:rPr>
          <w:t>doktorantura</w:t>
        </w:r>
      </w:hyperlink>
      <w:hyperlink r:id="rId32" w:history="1">
        <w:r w:rsidR="00D65234" w:rsidRPr="00FD0E29">
          <w:rPr>
            <w:rStyle w:val="Hyperlink"/>
            <w:lang w:val="en-US"/>
          </w:rPr>
          <w:t>@</w:t>
        </w:r>
      </w:hyperlink>
      <w:hyperlink r:id="rId33" w:history="1"/>
      <w:hyperlink r:id="rId34" w:history="1">
        <w:r w:rsidR="00D65234" w:rsidRPr="00FD0E29">
          <w:rPr>
            <w:rStyle w:val="Hyperlink"/>
          </w:rPr>
          <w:t xml:space="preserve">ftmc.lt </w:t>
        </w:r>
      </w:hyperlink>
      <w:hyperlink r:id="rId35" w:history="1"/>
      <w:r w:rsidR="00D65234">
        <w:t>)</w:t>
      </w:r>
    </w:p>
    <w:p w:rsidR="00687920" w:rsidRDefault="00687920" w:rsidP="0071131A">
      <w:pPr>
        <w:pStyle w:val="ListParagraph"/>
        <w:numPr>
          <w:ilvl w:val="1"/>
          <w:numId w:val="3"/>
        </w:numPr>
        <w:ind w:left="1080" w:hanging="720"/>
        <w:jc w:val="both"/>
      </w:pPr>
      <w:r>
        <w:t xml:space="preserve">During the meeting of the Doctoral Commission, doctoral students in the field of </w:t>
      </w:r>
      <w:r w:rsidR="0071131A">
        <w:t>M</w:t>
      </w:r>
      <w:r>
        <w:t>aterials engineering must make short reports:</w:t>
      </w:r>
    </w:p>
    <w:p w:rsidR="00687920" w:rsidRDefault="00687920" w:rsidP="0071131A">
      <w:pPr>
        <w:pStyle w:val="ListParagraph"/>
        <w:numPr>
          <w:ilvl w:val="2"/>
          <w:numId w:val="3"/>
        </w:numPr>
        <w:ind w:left="1800" w:hanging="720"/>
        <w:jc w:val="both"/>
      </w:pPr>
      <w:r>
        <w:t xml:space="preserve">1st year (newly admitted) doctoral students present </w:t>
      </w:r>
      <w:r w:rsidR="0071131A">
        <w:t xml:space="preserve">the </w:t>
      </w:r>
      <w:r>
        <w:t xml:space="preserve">prepared study plans. </w:t>
      </w:r>
      <w:r w:rsidR="0071131A">
        <w:t>Presentation</w:t>
      </w:r>
      <w:r>
        <w:t xml:space="preserve"> duration - up to 2 minutes.</w:t>
      </w:r>
    </w:p>
    <w:p w:rsidR="00687920" w:rsidRDefault="00687920" w:rsidP="0071131A">
      <w:pPr>
        <w:pStyle w:val="ListParagraph"/>
        <w:numPr>
          <w:ilvl w:val="2"/>
          <w:numId w:val="3"/>
        </w:numPr>
        <w:ind w:left="1800" w:hanging="720"/>
        <w:jc w:val="both"/>
      </w:pPr>
      <w:r w:rsidRPr="00687920">
        <w:t xml:space="preserve">Attestation of doctoral students who have started II - IV years. Doctoral students present the activities carried out </w:t>
      </w:r>
      <w:r w:rsidR="0071131A">
        <w:t>during the last study year</w:t>
      </w:r>
      <w:r w:rsidRPr="00687920">
        <w:t xml:space="preserve"> (up to 5 slides, 5 minutes for presentation).</w:t>
      </w:r>
    </w:p>
    <w:p w:rsidR="00687920" w:rsidRPr="004046C8" w:rsidRDefault="003505FC" w:rsidP="003505FC">
      <w:pPr>
        <w:pStyle w:val="ListParagraph"/>
        <w:numPr>
          <w:ilvl w:val="0"/>
          <w:numId w:val="3"/>
        </w:numPr>
        <w:jc w:val="both"/>
      </w:pPr>
      <w:r>
        <w:t xml:space="preserve">Doctoral students </w:t>
      </w:r>
      <w:r w:rsidR="00987802">
        <w:t>of the last study year</w:t>
      </w:r>
      <w:r>
        <w:t xml:space="preserve"> who have not yet applied to the </w:t>
      </w:r>
      <w:r w:rsidR="00987802">
        <w:t>C</w:t>
      </w:r>
      <w:r>
        <w:t xml:space="preserve">ommittee with a request to defend their thesis, until </w:t>
      </w:r>
      <w:r w:rsidR="00987802">
        <w:t xml:space="preserve">the end of </w:t>
      </w:r>
      <w:r>
        <w:t xml:space="preserve">September must submit electronic </w:t>
      </w:r>
      <w:proofErr w:type="spellStart"/>
      <w:r w:rsidR="00987802">
        <w:t>manusripts</w:t>
      </w:r>
      <w:proofErr w:type="spellEnd"/>
      <w:r>
        <w:t xml:space="preserve"> of dissertation and their summaries to the Department of Scientific Information and Doctoral Studies (doctoral students are informed about the specific dates of submission annually via official FTMC e-mail addresses).</w:t>
      </w:r>
    </w:p>
    <w:p w:rsidR="00041B91" w:rsidRDefault="00041B91" w:rsidP="00041B91">
      <w:pPr>
        <w:pStyle w:val="Heading1"/>
        <w:spacing w:after="240"/>
      </w:pPr>
      <w:r w:rsidRPr="008F40D1">
        <w:t>Doctoral leave</w:t>
      </w:r>
    </w:p>
    <w:p w:rsidR="00041B91" w:rsidRDefault="00041B91" w:rsidP="00041B91">
      <w:pPr>
        <w:pStyle w:val="ListParagraph"/>
        <w:numPr>
          <w:ilvl w:val="0"/>
          <w:numId w:val="3"/>
        </w:numPr>
        <w:jc w:val="both"/>
      </w:pPr>
      <w:r>
        <w:t xml:space="preserve">In July and/or August of each study year, doctoral students are granted a continuous vacation of at least one month ( </w:t>
      </w:r>
      <w:r w:rsidRPr="00931A07">
        <w:rPr>
          <w:i/>
        </w:rPr>
        <w:t xml:space="preserve">the total duration of the vacation is not more than 2 months </w:t>
      </w:r>
      <w:r>
        <w:t xml:space="preserve">). Leave can be granted </w:t>
      </w:r>
      <w:r>
        <w:lastRenderedPageBreak/>
        <w:t>at other times, if the supervisor of the doctoral student agrees (p. 52 of the Doctoral Studies Regulation,</w:t>
      </w:r>
    </w:p>
    <w:p w:rsidR="00041B91" w:rsidRDefault="00F6341C" w:rsidP="00041B91">
      <w:pPr>
        <w:pStyle w:val="ListParagraph"/>
        <w:ind w:left="360"/>
        <w:jc w:val="both"/>
      </w:pPr>
      <w:hyperlink r:id="rId36" w:history="1">
        <w:r w:rsidR="00041B91" w:rsidRPr="00FD0E29">
          <w:rPr>
            <w:rStyle w:val="Hyperlink"/>
          </w:rPr>
          <w:t xml:space="preserve">https://www.ftmc.lt/uploads/pdf/Dokumentai/doktorantura/Doktoranturos_tvarkos/VU_Mokslo_doktorant%C5%ABros_REGLAMENTAS_patvirtintas_2020-10-06.pdf </w:t>
        </w:r>
      </w:hyperlink>
      <w:r w:rsidR="00041B91">
        <w:t>).</w:t>
      </w:r>
    </w:p>
    <w:p w:rsidR="00041B91" w:rsidRDefault="00041B91" w:rsidP="00041B91">
      <w:pPr>
        <w:pStyle w:val="ListParagraph"/>
        <w:numPr>
          <w:ilvl w:val="0"/>
          <w:numId w:val="3"/>
        </w:numPr>
        <w:jc w:val="both"/>
      </w:pPr>
      <w:r>
        <w:t xml:space="preserve">For important reasons (childbirth, childcare leave, illness of the doctoral student, etc.), a doctoral student may </w:t>
      </w:r>
      <w:r w:rsidR="00987802">
        <w:t>take</w:t>
      </w:r>
      <w:r>
        <w:t xml:space="preserve"> </w:t>
      </w:r>
      <w:r w:rsidR="00987802">
        <w:t>a</w:t>
      </w:r>
      <w:r>
        <w:t>n academic leave.</w:t>
      </w:r>
    </w:p>
    <w:p w:rsidR="00041B91" w:rsidRDefault="00041B91" w:rsidP="00041B91">
      <w:pPr>
        <w:pStyle w:val="ListParagraph"/>
        <w:numPr>
          <w:ilvl w:val="0"/>
          <w:numId w:val="3"/>
        </w:numPr>
        <w:jc w:val="both"/>
      </w:pPr>
      <w:r>
        <w:t>Once during the period of study, the doctoral student, upon agreement with the supervisor of the doctoral student, has the right to take an academic leave of no longer than one year of study (12 months) for personal reasons.</w:t>
      </w:r>
    </w:p>
    <w:p w:rsidR="00041B91" w:rsidRDefault="00041B91" w:rsidP="00041B91">
      <w:pPr>
        <w:pStyle w:val="ListParagraph"/>
        <w:numPr>
          <w:ilvl w:val="0"/>
          <w:numId w:val="3"/>
        </w:numPr>
        <w:jc w:val="both"/>
      </w:pPr>
      <w:r>
        <w:t xml:space="preserve">A doctoral student who wishes to take an academic leave </w:t>
      </w:r>
      <w:r w:rsidR="008C5845">
        <w:t xml:space="preserve">must </w:t>
      </w:r>
      <w:r>
        <w:t xml:space="preserve">submit a request, endorsed by the doctoral student's supervisor, to the Department of Scientific Information and Doctoral Studies at FTMC (room D412/D409, </w:t>
      </w:r>
      <w:hyperlink r:id="rId37" w:history="1">
        <w:r w:rsidRPr="00FD0E29">
          <w:rPr>
            <w:rStyle w:val="Hyperlink"/>
          </w:rPr>
          <w:t>doktorantura</w:t>
        </w:r>
      </w:hyperlink>
      <w:hyperlink r:id="rId38" w:history="1">
        <w:r w:rsidRPr="00FD0E29">
          <w:rPr>
            <w:rStyle w:val="Hyperlink"/>
            <w:lang w:val="en-US"/>
          </w:rPr>
          <w:t>@</w:t>
        </w:r>
      </w:hyperlink>
      <w:hyperlink r:id="rId39" w:history="1">
        <w:r w:rsidRPr="00FD0E29">
          <w:rPr>
            <w:rStyle w:val="Hyperlink"/>
          </w:rPr>
          <w:t xml:space="preserve">ftmc.lt </w:t>
        </w:r>
      </w:hyperlink>
      <w:r>
        <w:t xml:space="preserve">or </w:t>
      </w:r>
      <w:hyperlink r:id="rId40" w:history="1">
        <w:r w:rsidRPr="00FD0E29">
          <w:rPr>
            <w:rStyle w:val="Hyperlink"/>
          </w:rPr>
          <w:t>kristina.pauskaite</w:t>
        </w:r>
      </w:hyperlink>
      <w:hyperlink r:id="rId41" w:history="1">
        <w:r w:rsidRPr="00FD0E29">
          <w:rPr>
            <w:rStyle w:val="Hyperlink"/>
            <w:lang w:val="en-US"/>
          </w:rPr>
          <w:t>@</w:t>
        </w:r>
      </w:hyperlink>
      <w:hyperlink r:id="rId42" w:history="1">
        <w:r w:rsidRPr="00FD0E29">
          <w:rPr>
            <w:rStyle w:val="Hyperlink"/>
          </w:rPr>
          <w:t>ftmc.lt</w:t>
        </w:r>
      </w:hyperlink>
      <w:r>
        <w:t>). An example of a request to issue an academic leave is provided in the</w:t>
      </w:r>
      <w:r w:rsidR="008C5845">
        <w:t xml:space="preserve"> webpage of</w:t>
      </w:r>
      <w:r>
        <w:t xml:space="preserve"> </w:t>
      </w:r>
      <w:r w:rsidR="008C5845">
        <w:t xml:space="preserve">FTMC, section: </w:t>
      </w:r>
      <w:r w:rsidR="006D3B4C">
        <w:t>Studies</w:t>
      </w:r>
      <w:r>
        <w:t>/Documents</w:t>
      </w:r>
      <w:r w:rsidR="008C5845">
        <w:t>/</w:t>
      </w:r>
      <w:r>
        <w:t>Other documents (</w:t>
      </w:r>
      <w:hyperlink r:id="rId43" w:history="1">
        <w:r w:rsidRPr="00FD0E29">
          <w:rPr>
            <w:rStyle w:val="Hyperlink"/>
          </w:rPr>
          <w:t>https://www.ftmc.lt/dokumentai-3</w:t>
        </w:r>
      </w:hyperlink>
      <w:r>
        <w:t>).</w:t>
      </w:r>
      <w:r w:rsidR="00130A61">
        <w:t xml:space="preserve"> The text of the request can be filled in English.</w:t>
      </w:r>
    </w:p>
    <w:p w:rsidR="00A65715" w:rsidRDefault="00A65715" w:rsidP="00041B91">
      <w:pPr>
        <w:pStyle w:val="ListParagraph"/>
        <w:numPr>
          <w:ilvl w:val="0"/>
          <w:numId w:val="3"/>
        </w:numPr>
        <w:jc w:val="both"/>
      </w:pPr>
      <w:r w:rsidRPr="00A65715">
        <w:t xml:space="preserve">The beginning of the academic leave always coincides with the first day of a certain month, and the end - with the last day of the corresponding month, </w:t>
      </w:r>
      <w:r w:rsidR="00324CE1">
        <w:t>therefore</w:t>
      </w:r>
      <w:r w:rsidRPr="00A65715">
        <w:t xml:space="preserve"> this should be </w:t>
      </w:r>
      <w:proofErr w:type="gramStart"/>
      <w:r w:rsidRPr="00A65715">
        <w:t>taken into account</w:t>
      </w:r>
      <w:proofErr w:type="gramEnd"/>
      <w:r w:rsidRPr="00A65715">
        <w:t xml:space="preserve"> when specifying the start and end dates of the academic leave in the </w:t>
      </w:r>
      <w:r>
        <w:t>request</w:t>
      </w:r>
      <w:r w:rsidRPr="00A65715">
        <w:t>.</w:t>
      </w:r>
    </w:p>
    <w:p w:rsidR="00041B91" w:rsidRDefault="00041B91" w:rsidP="00041B91">
      <w:pPr>
        <w:pStyle w:val="ListParagraph"/>
        <w:numPr>
          <w:ilvl w:val="0"/>
          <w:numId w:val="3"/>
        </w:numPr>
        <w:jc w:val="both"/>
      </w:pPr>
      <w:r>
        <w:t xml:space="preserve">The time when the </w:t>
      </w:r>
      <w:r w:rsidR="00A718C0">
        <w:t>doctoral</w:t>
      </w:r>
      <w:r>
        <w:t xml:space="preserve"> student is on academic leave is not included in the duration of the </w:t>
      </w:r>
      <w:r w:rsidR="00A718C0">
        <w:t>studies</w:t>
      </w:r>
      <w:r>
        <w:t xml:space="preserve">. </w:t>
      </w:r>
      <w:r w:rsidR="00A718C0" w:rsidRPr="00A718C0">
        <w:t xml:space="preserve">The payment of the scholarship is suspended during the academic </w:t>
      </w:r>
      <w:r w:rsidR="00A718C0">
        <w:t>leave</w:t>
      </w:r>
      <w:r>
        <w:t>.</w:t>
      </w:r>
    </w:p>
    <w:p w:rsidR="00041B91" w:rsidRDefault="00DB775E" w:rsidP="00DF4308">
      <w:pPr>
        <w:pStyle w:val="Heading1"/>
        <w:spacing w:after="240"/>
      </w:pPr>
      <w:r>
        <w:t>Funds for doctoral studies</w:t>
      </w:r>
    </w:p>
    <w:p w:rsidR="00DB775E" w:rsidRDefault="00A718C0" w:rsidP="00DB775E">
      <w:pPr>
        <w:pStyle w:val="ListParagraph"/>
        <w:numPr>
          <w:ilvl w:val="0"/>
          <w:numId w:val="3"/>
        </w:numPr>
        <w:jc w:val="both"/>
      </w:pPr>
      <w:r w:rsidRPr="00314904">
        <w:t>According</w:t>
      </w:r>
      <w:r w:rsidR="00DF4308" w:rsidRPr="00314904">
        <w:t xml:space="preserve"> to the order of the FTMC director </w:t>
      </w:r>
      <w:r w:rsidRPr="00314904">
        <w:t>N</w:t>
      </w:r>
      <w:r w:rsidR="00DF4308" w:rsidRPr="00314904">
        <w:t>o. A-28</w:t>
      </w:r>
      <w:r w:rsidRPr="00314904">
        <w:t xml:space="preserve"> (2021.03.17)</w:t>
      </w:r>
      <w:r w:rsidR="00DF4308" w:rsidRPr="00314904">
        <w:t xml:space="preserve"> approved </w:t>
      </w:r>
      <w:r w:rsidR="007D636C" w:rsidRPr="00314904">
        <w:t>P</w:t>
      </w:r>
      <w:r w:rsidR="00DF4308" w:rsidRPr="00314904">
        <w:t>rocedure for the use of</w:t>
      </w:r>
      <w:r w:rsidR="00DF4308">
        <w:t xml:space="preserve"> funds for the price of doctoral studies (hereinafter </w:t>
      </w:r>
      <w:r w:rsidR="00314904">
        <w:t>–</w:t>
      </w:r>
      <w:r w:rsidR="00DF4308">
        <w:t xml:space="preserve"> Procedure</w:t>
      </w:r>
      <w:r w:rsidR="001731B8">
        <w:t>,</w:t>
      </w:r>
      <w:r w:rsidR="00DF4308">
        <w:t xml:space="preserve"> available in the DVS system), </w:t>
      </w:r>
      <w:r w:rsidR="00DF4308" w:rsidRPr="00494178">
        <w:rPr>
          <w:color w:val="2F5496" w:themeColor="accent1" w:themeShade="BF"/>
        </w:rPr>
        <w:t xml:space="preserve">1,500 EUR </w:t>
      </w:r>
      <w:r w:rsidR="00DF4308">
        <w:t>is allocated for the needs of doctoral studies of doctoral students of the I</w:t>
      </w:r>
      <w:r w:rsidR="00314904">
        <w:t xml:space="preserve"> – </w:t>
      </w:r>
      <w:r w:rsidR="00DF4308">
        <w:t xml:space="preserve">III years of study per one year of study (from October 1 to September 30). In the </w:t>
      </w:r>
      <w:r w:rsidR="00314904">
        <w:t>IV</w:t>
      </w:r>
      <w:r w:rsidR="00DF4308">
        <w:t xml:space="preserve"> year of studies, this amount is allocated to the defense of the dissertation.</w:t>
      </w:r>
    </w:p>
    <w:p w:rsidR="00DF4308" w:rsidRDefault="00494178" w:rsidP="00DB775E">
      <w:pPr>
        <w:pStyle w:val="ListParagraph"/>
        <w:numPr>
          <w:ilvl w:val="0"/>
          <w:numId w:val="3"/>
        </w:numPr>
        <w:jc w:val="both"/>
      </w:pPr>
      <w:r>
        <w:t xml:space="preserve">Funds for doctoral </w:t>
      </w:r>
      <w:r w:rsidR="001F2378">
        <w:t>needs</w:t>
      </w:r>
      <w:r>
        <w:t xml:space="preserve"> can be used for: purchasing goods, materials, services, a computer with software, mobility (for a conference/internship), publication of an article, other basic tools necessary for studies.</w:t>
      </w:r>
    </w:p>
    <w:p w:rsidR="00C264F6" w:rsidRDefault="00C264F6" w:rsidP="00DB775E">
      <w:pPr>
        <w:pStyle w:val="ListParagraph"/>
        <w:numPr>
          <w:ilvl w:val="0"/>
          <w:numId w:val="3"/>
        </w:numPr>
        <w:jc w:val="both"/>
      </w:pPr>
      <w:r w:rsidRPr="00C264F6">
        <w:t xml:space="preserve">In order to purchase tools for </w:t>
      </w:r>
      <w:r w:rsidR="001F2378" w:rsidRPr="00CC2B8C">
        <w:rPr>
          <w:lang w:val="en-GB"/>
        </w:rPr>
        <w:t>the doctoral needs</w:t>
      </w:r>
      <w:r w:rsidRPr="00C264F6">
        <w:t xml:space="preserve">, the public procurement procedure approved by the Center must be followed. The planned purchase must be coordinated in advance with the </w:t>
      </w:r>
      <w:r w:rsidRPr="00C264F6">
        <w:rPr>
          <w:color w:val="2F5496" w:themeColor="accent1" w:themeShade="BF"/>
        </w:rPr>
        <w:t xml:space="preserve">public procurement organizer assigned to the department where the doctoral student is studying </w:t>
      </w:r>
      <w:r w:rsidRPr="00C264F6">
        <w:t>(Order No. A-26 of 03/09/2021, available in the DVS system).</w:t>
      </w:r>
    </w:p>
    <w:p w:rsidR="00C264F6" w:rsidRDefault="00C264F6" w:rsidP="00DB775E">
      <w:pPr>
        <w:pStyle w:val="ListParagraph"/>
        <w:numPr>
          <w:ilvl w:val="0"/>
          <w:numId w:val="3"/>
        </w:numPr>
        <w:jc w:val="both"/>
      </w:pPr>
      <w:r>
        <w:t xml:space="preserve">When purchasing </w:t>
      </w:r>
      <w:r w:rsidR="00883887">
        <w:t xml:space="preserve">a </w:t>
      </w:r>
      <w:r>
        <w:t xml:space="preserve">computer (with/without software), the purchase must also be coordinated with the Centre's IT specialist </w:t>
      </w:r>
      <w:proofErr w:type="spellStart"/>
      <w:r>
        <w:t>Kęstutis</w:t>
      </w:r>
      <w:proofErr w:type="spellEnd"/>
      <w:r>
        <w:t xml:space="preserve"> </w:t>
      </w:r>
      <w:proofErr w:type="spellStart"/>
      <w:r w:rsidRPr="00C264F6">
        <w:t>Senuta</w:t>
      </w:r>
      <w:proofErr w:type="spellEnd"/>
      <w:r w:rsidRPr="00C264F6">
        <w:t xml:space="preserve"> </w:t>
      </w:r>
      <w:r>
        <w:t>(</w:t>
      </w:r>
      <w:hyperlink r:id="rId44" w:history="1">
        <w:r w:rsidR="008573B4" w:rsidRPr="00E80EF5">
          <w:rPr>
            <w:rStyle w:val="Hyperlink"/>
          </w:rPr>
          <w:t>kestutis.senuta@ftmc.lt</w:t>
        </w:r>
      </w:hyperlink>
      <w:r>
        <w:t xml:space="preserve">). When purchasing the software </w:t>
      </w:r>
      <w:r w:rsidRPr="009C2FF9">
        <w:rPr>
          <w:i/>
        </w:rPr>
        <w:t xml:space="preserve">separately from the computer, the inventory number </w:t>
      </w:r>
      <w:r w:rsidRPr="00C264F6">
        <w:t xml:space="preserve">of the computer on which the software will be installed must be </w:t>
      </w:r>
      <w:r w:rsidR="00EE1F12">
        <w:t>indicated on the Invoice</w:t>
      </w:r>
      <w:r w:rsidRPr="00C264F6">
        <w:t>.</w:t>
      </w:r>
    </w:p>
    <w:p w:rsidR="00494178" w:rsidRDefault="00494178" w:rsidP="00DB775E">
      <w:pPr>
        <w:pStyle w:val="ListParagraph"/>
        <w:numPr>
          <w:ilvl w:val="0"/>
          <w:numId w:val="3"/>
        </w:numPr>
        <w:jc w:val="both"/>
      </w:pPr>
      <w:r>
        <w:t xml:space="preserve">The acquisition of fixed assets, including intangible fixed assets (software), is not possible due to </w:t>
      </w:r>
      <w:r w:rsidR="006E2EC4" w:rsidRPr="006E2EC4">
        <w:t xml:space="preserve">applicable </w:t>
      </w:r>
      <w:r>
        <w:t xml:space="preserve">restrictions </w:t>
      </w:r>
      <w:r w:rsidR="006E2EC4">
        <w:t>of</w:t>
      </w:r>
      <w:r>
        <w:t xml:space="preserve"> </w:t>
      </w:r>
      <w:r w:rsidR="006E2EC4">
        <w:t>governmental</w:t>
      </w:r>
      <w:r>
        <w:t xml:space="preserve"> funding</w:t>
      </w:r>
      <w:r w:rsidR="006E2EC4">
        <w:t xml:space="preserve"> usage</w:t>
      </w:r>
      <w:r>
        <w:t>.</w:t>
      </w:r>
    </w:p>
    <w:p w:rsidR="00494178" w:rsidRDefault="008573B4" w:rsidP="00DB775E">
      <w:pPr>
        <w:pStyle w:val="ListParagraph"/>
        <w:numPr>
          <w:ilvl w:val="0"/>
          <w:numId w:val="3"/>
        </w:numPr>
        <w:jc w:val="both"/>
      </w:pPr>
      <w:r w:rsidRPr="008573B4">
        <w:t xml:space="preserve">The price of 1 unit of tools necessary for doctoral studies </w:t>
      </w:r>
      <w:r w:rsidRPr="008573B4">
        <w:rPr>
          <w:color w:val="2F5496" w:themeColor="accent1" w:themeShade="BF"/>
        </w:rPr>
        <w:t>cannot exceed EUR 500.00 including VAT</w:t>
      </w:r>
      <w:r w:rsidRPr="008573B4">
        <w:t>. Advance invoices in which the price of the instrument to be purchased exceeds EUR 500.00 including VAT are not paid</w:t>
      </w:r>
      <w:r>
        <w:t>.</w:t>
      </w:r>
    </w:p>
    <w:p w:rsidR="00494178" w:rsidRPr="00494178" w:rsidRDefault="00B06A56" w:rsidP="00494178">
      <w:pPr>
        <w:pStyle w:val="ListParagraph"/>
        <w:numPr>
          <w:ilvl w:val="0"/>
          <w:numId w:val="3"/>
        </w:numPr>
        <w:jc w:val="both"/>
      </w:pPr>
      <w:r w:rsidRPr="00B06A56">
        <w:lastRenderedPageBreak/>
        <w:t xml:space="preserve">The documents for the purchase of tools for doctoral purposes (advance invoices, invoices, etc.) </w:t>
      </w:r>
      <w:r w:rsidRPr="00B06A56">
        <w:rPr>
          <w:color w:val="2F5496" w:themeColor="accent1" w:themeShade="BF"/>
        </w:rPr>
        <w:t>must be approved by the doctoral student's scientific supervisor</w:t>
      </w:r>
      <w:r w:rsidRPr="00B06A56">
        <w:t xml:space="preserve">, indicating the </w:t>
      </w:r>
      <w:r w:rsidRPr="00B06A56">
        <w:rPr>
          <w:color w:val="2F5496" w:themeColor="accent1" w:themeShade="BF"/>
        </w:rPr>
        <w:t xml:space="preserve">name and surname </w:t>
      </w:r>
      <w:r w:rsidRPr="00B06A56">
        <w:t>of doctoral student of whose funds it should be paid.</w:t>
      </w:r>
    </w:p>
    <w:p w:rsidR="00494178" w:rsidRDefault="00494178" w:rsidP="00494178">
      <w:pPr>
        <w:pStyle w:val="ListParagraph"/>
        <w:numPr>
          <w:ilvl w:val="0"/>
          <w:numId w:val="3"/>
        </w:numPr>
        <w:jc w:val="both"/>
      </w:pPr>
      <w:r w:rsidRPr="00494178">
        <w:t xml:space="preserve">Public procurement of </w:t>
      </w:r>
      <w:r w:rsidR="00C561A1">
        <w:t>goods</w:t>
      </w:r>
      <w:r w:rsidRPr="00494178">
        <w:t xml:space="preserve"> for doctoral purposes </w:t>
      </w:r>
      <w:r w:rsidRPr="00494178">
        <w:rPr>
          <w:color w:val="2F5496" w:themeColor="accent1" w:themeShade="BF"/>
        </w:rPr>
        <w:t>cannot be carried out in December and January</w:t>
      </w:r>
      <w:r w:rsidRPr="00494178">
        <w:t>.</w:t>
      </w:r>
    </w:p>
    <w:p w:rsidR="003237CC" w:rsidRPr="003237CC" w:rsidRDefault="003237CC" w:rsidP="00494178">
      <w:pPr>
        <w:pStyle w:val="ListParagraph"/>
        <w:numPr>
          <w:ilvl w:val="0"/>
          <w:numId w:val="3"/>
        </w:numPr>
        <w:jc w:val="both"/>
      </w:pPr>
      <w:r w:rsidRPr="003237CC">
        <w:t xml:space="preserve">Doctoral students who are </w:t>
      </w:r>
      <w:r w:rsidRPr="003237CC">
        <w:rPr>
          <w:color w:val="2F5496" w:themeColor="accent1" w:themeShade="BF"/>
        </w:rPr>
        <w:t xml:space="preserve">not employed </w:t>
      </w:r>
      <w:r w:rsidRPr="003237CC">
        <w:t xml:space="preserve">in the current study year, except for the IV study year, may be </w:t>
      </w:r>
      <w:r w:rsidRPr="003237CC">
        <w:rPr>
          <w:color w:val="2F5496" w:themeColor="accent1" w:themeShade="BF"/>
        </w:rPr>
        <w:t xml:space="preserve">additionally </w:t>
      </w:r>
      <w:r w:rsidR="00D55431">
        <w:rPr>
          <w:color w:val="2F5496" w:themeColor="accent1" w:themeShade="BF"/>
        </w:rPr>
        <w:t>reimbursed</w:t>
      </w:r>
      <w:r w:rsidRPr="003237CC">
        <w:rPr>
          <w:color w:val="2F5496" w:themeColor="accent1" w:themeShade="BF"/>
        </w:rPr>
        <w:t xml:space="preserve"> the </w:t>
      </w:r>
      <w:r w:rsidRPr="002F2A23">
        <w:rPr>
          <w:color w:val="2F5496" w:themeColor="accent1" w:themeShade="BF"/>
        </w:rPr>
        <w:t xml:space="preserve">expenses </w:t>
      </w:r>
      <w:r w:rsidRPr="003237CC">
        <w:rPr>
          <w:color w:val="2F5496" w:themeColor="accent1" w:themeShade="BF"/>
        </w:rPr>
        <w:t xml:space="preserve">of one conference/internship </w:t>
      </w:r>
      <w:r w:rsidRPr="003237CC">
        <w:t>during one study year (</w:t>
      </w:r>
      <w:r w:rsidR="00702290">
        <w:t>P</w:t>
      </w:r>
      <w:r w:rsidR="00702290" w:rsidRPr="00702290">
        <w:t xml:space="preserve">aragraph </w:t>
      </w:r>
      <w:r w:rsidRPr="003237CC">
        <w:t>8 of the Procedure).</w:t>
      </w:r>
    </w:p>
    <w:p w:rsidR="00985CC2" w:rsidRDefault="00702290" w:rsidP="00494178">
      <w:pPr>
        <w:pStyle w:val="ListParagraph"/>
        <w:numPr>
          <w:ilvl w:val="0"/>
          <w:numId w:val="3"/>
        </w:numPr>
        <w:jc w:val="both"/>
      </w:pPr>
      <w:r>
        <w:t>In accordance</w:t>
      </w:r>
      <w:r w:rsidR="00985CC2">
        <w:t xml:space="preserve"> to</w:t>
      </w:r>
      <w:r>
        <w:t xml:space="preserve"> the</w:t>
      </w:r>
      <w:r w:rsidR="00985CC2">
        <w:t xml:space="preserve"> </w:t>
      </w:r>
      <w:r>
        <w:t>P</w:t>
      </w:r>
      <w:r w:rsidRPr="00702290">
        <w:t>aragraph</w:t>
      </w:r>
      <w:r w:rsidR="00985CC2">
        <w:t xml:space="preserve"> 5.2 of the Procedure, </w:t>
      </w:r>
      <w:r w:rsidRPr="00702290">
        <w:t xml:space="preserve">in order to prompt doctoral students, they can be employed </w:t>
      </w:r>
      <w:r>
        <w:t>from</w:t>
      </w:r>
      <w:r w:rsidRPr="00702290">
        <w:t xml:space="preserve"> the funds of the doctoral studies</w:t>
      </w:r>
      <w:r>
        <w:t xml:space="preserve"> </w:t>
      </w:r>
      <w:r w:rsidRPr="00702290">
        <w:t>price</w:t>
      </w:r>
      <w:r w:rsidR="00985CC2">
        <w:t xml:space="preserve">. </w:t>
      </w:r>
      <w:r>
        <w:t>O</w:t>
      </w:r>
      <w:r w:rsidRPr="00702290">
        <w:t xml:space="preserve">n the recommendation of the doctoral </w:t>
      </w:r>
      <w:r>
        <w:t xml:space="preserve">student </w:t>
      </w:r>
      <w:r w:rsidRPr="00702290">
        <w:t>supervisor</w:t>
      </w:r>
      <w:r>
        <w:t>, t</w:t>
      </w:r>
      <w:r w:rsidR="00985CC2">
        <w:t>he head of the relevant scientific department</w:t>
      </w:r>
      <w:r>
        <w:t xml:space="preserve"> </w:t>
      </w:r>
      <w:r w:rsidR="00985CC2">
        <w:t>coordinates the possible recruitment position and workload with the director. If the doctoral student meets the department's needs and requirements, then the request to conclude an employment contract can be submitted to the director of FTMC.</w:t>
      </w:r>
    </w:p>
    <w:p w:rsidR="00F12151" w:rsidRDefault="00F12151" w:rsidP="00F12151">
      <w:pPr>
        <w:jc w:val="both"/>
      </w:pPr>
    </w:p>
    <w:p w:rsidR="00F12151" w:rsidRDefault="00F12151" w:rsidP="00F12151">
      <w:pPr>
        <w:jc w:val="both"/>
      </w:pPr>
    </w:p>
    <w:p w:rsidR="00F12151" w:rsidRDefault="00F12151" w:rsidP="00F12151">
      <w:pPr>
        <w:jc w:val="both"/>
      </w:pPr>
    </w:p>
    <w:sectPr w:rsidR="00F12151" w:rsidSect="00F55AC9">
      <w:pgSz w:w="12240" w:h="15840"/>
      <w:pgMar w:top="90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D2372"/>
    <w:multiLevelType w:val="hybridMultilevel"/>
    <w:tmpl w:val="F402970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4ED7A2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E23668D"/>
    <w:multiLevelType w:val="hybridMultilevel"/>
    <w:tmpl w:val="166ED8FE"/>
    <w:lvl w:ilvl="0" w:tplc="04090019">
      <w:start w:val="1"/>
      <w:numFmt w:val="lowerLetter"/>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3" w15:restartNumberingAfterBreak="0">
    <w:nsid w:val="2EF3618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14031B2"/>
    <w:multiLevelType w:val="hybridMultilevel"/>
    <w:tmpl w:val="9EE2AC78"/>
    <w:lvl w:ilvl="0" w:tplc="7D04789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42A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77095F12"/>
    <w:multiLevelType w:val="hybridMultilevel"/>
    <w:tmpl w:val="3C34E87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5"/>
  </w:num>
  <w:num w:numId="4">
    <w:abstractNumId w:val="4"/>
  </w:num>
  <w:num w:numId="5">
    <w:abstractNumId w:val="2"/>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10E2"/>
    <w:rsid w:val="00015CC5"/>
    <w:rsid w:val="00041B91"/>
    <w:rsid w:val="00046A37"/>
    <w:rsid w:val="00071434"/>
    <w:rsid w:val="000A0B36"/>
    <w:rsid w:val="000E0085"/>
    <w:rsid w:val="00130A61"/>
    <w:rsid w:val="00164DBB"/>
    <w:rsid w:val="001731B8"/>
    <w:rsid w:val="00180EE1"/>
    <w:rsid w:val="00187CCC"/>
    <w:rsid w:val="001A09A4"/>
    <w:rsid w:val="001B388F"/>
    <w:rsid w:val="001C2EC9"/>
    <w:rsid w:val="001D3CCA"/>
    <w:rsid w:val="001F2378"/>
    <w:rsid w:val="00223D65"/>
    <w:rsid w:val="002A316D"/>
    <w:rsid w:val="002E6E71"/>
    <w:rsid w:val="002F2A23"/>
    <w:rsid w:val="00314904"/>
    <w:rsid w:val="003237CC"/>
    <w:rsid w:val="00324CE1"/>
    <w:rsid w:val="003505FC"/>
    <w:rsid w:val="0039347A"/>
    <w:rsid w:val="003B2A65"/>
    <w:rsid w:val="003C2E2E"/>
    <w:rsid w:val="003D7407"/>
    <w:rsid w:val="00401A41"/>
    <w:rsid w:val="004046C8"/>
    <w:rsid w:val="00494178"/>
    <w:rsid w:val="004A1547"/>
    <w:rsid w:val="004C056E"/>
    <w:rsid w:val="004E0632"/>
    <w:rsid w:val="004F03C9"/>
    <w:rsid w:val="0050140A"/>
    <w:rsid w:val="00514540"/>
    <w:rsid w:val="005321CD"/>
    <w:rsid w:val="00575DA1"/>
    <w:rsid w:val="006606D0"/>
    <w:rsid w:val="00687302"/>
    <w:rsid w:val="00687920"/>
    <w:rsid w:val="00697F48"/>
    <w:rsid w:val="006C06FA"/>
    <w:rsid w:val="006D3B4C"/>
    <w:rsid w:val="006D430B"/>
    <w:rsid w:val="006E2EC4"/>
    <w:rsid w:val="006F00F6"/>
    <w:rsid w:val="00702290"/>
    <w:rsid w:val="0071131A"/>
    <w:rsid w:val="00716BCB"/>
    <w:rsid w:val="007422CF"/>
    <w:rsid w:val="007D636C"/>
    <w:rsid w:val="007F2427"/>
    <w:rsid w:val="00817A44"/>
    <w:rsid w:val="008573B4"/>
    <w:rsid w:val="00874A03"/>
    <w:rsid w:val="00883887"/>
    <w:rsid w:val="008C5845"/>
    <w:rsid w:val="008D0610"/>
    <w:rsid w:val="008D10EF"/>
    <w:rsid w:val="008F40D1"/>
    <w:rsid w:val="00916E4B"/>
    <w:rsid w:val="00931A07"/>
    <w:rsid w:val="00985CC2"/>
    <w:rsid w:val="00987802"/>
    <w:rsid w:val="00996094"/>
    <w:rsid w:val="009C067C"/>
    <w:rsid w:val="009C2FF9"/>
    <w:rsid w:val="00A06B14"/>
    <w:rsid w:val="00A15F1E"/>
    <w:rsid w:val="00A467CB"/>
    <w:rsid w:val="00A5087C"/>
    <w:rsid w:val="00A65715"/>
    <w:rsid w:val="00A718C0"/>
    <w:rsid w:val="00A873E5"/>
    <w:rsid w:val="00AC3FB4"/>
    <w:rsid w:val="00AC6385"/>
    <w:rsid w:val="00AE0E5C"/>
    <w:rsid w:val="00AE6F6A"/>
    <w:rsid w:val="00B06A56"/>
    <w:rsid w:val="00B20628"/>
    <w:rsid w:val="00B21E26"/>
    <w:rsid w:val="00B57DB6"/>
    <w:rsid w:val="00B645D4"/>
    <w:rsid w:val="00BB00FA"/>
    <w:rsid w:val="00BF523B"/>
    <w:rsid w:val="00C03944"/>
    <w:rsid w:val="00C264F6"/>
    <w:rsid w:val="00C34DDD"/>
    <w:rsid w:val="00C545FA"/>
    <w:rsid w:val="00C561A1"/>
    <w:rsid w:val="00C91586"/>
    <w:rsid w:val="00CD552D"/>
    <w:rsid w:val="00CE68BD"/>
    <w:rsid w:val="00D03F94"/>
    <w:rsid w:val="00D04576"/>
    <w:rsid w:val="00D060B2"/>
    <w:rsid w:val="00D13162"/>
    <w:rsid w:val="00D55431"/>
    <w:rsid w:val="00D556A6"/>
    <w:rsid w:val="00D559FF"/>
    <w:rsid w:val="00D65234"/>
    <w:rsid w:val="00D7204F"/>
    <w:rsid w:val="00DB0D0F"/>
    <w:rsid w:val="00DB775E"/>
    <w:rsid w:val="00DF4308"/>
    <w:rsid w:val="00E27AD9"/>
    <w:rsid w:val="00E710E2"/>
    <w:rsid w:val="00E77845"/>
    <w:rsid w:val="00EB1790"/>
    <w:rsid w:val="00EB17A4"/>
    <w:rsid w:val="00ED58D8"/>
    <w:rsid w:val="00ED5B91"/>
    <w:rsid w:val="00EE1F12"/>
    <w:rsid w:val="00F12151"/>
    <w:rsid w:val="00F316EF"/>
    <w:rsid w:val="00F55AC9"/>
    <w:rsid w:val="00F6341C"/>
    <w:rsid w:val="00F91C82"/>
    <w:rsid w:val="00FB7709"/>
    <w:rsid w:val="00FE61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D8D8AB"/>
  <w15:chartTrackingRefBased/>
  <w15:docId w15:val="{B83D718C-7A1A-48DD-866D-DDA357893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F03C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87CCC"/>
    <w:pPr>
      <w:ind w:left="720"/>
      <w:contextualSpacing/>
    </w:pPr>
  </w:style>
  <w:style w:type="character" w:styleId="Hyperlink">
    <w:name w:val="Hyperlink"/>
    <w:basedOn w:val="DefaultParagraphFont"/>
    <w:uiPriority w:val="99"/>
    <w:unhideWhenUsed/>
    <w:rsid w:val="004F03C9"/>
    <w:rPr>
      <w:color w:val="0563C1" w:themeColor="hyperlink"/>
      <w:u w:val="single"/>
    </w:rPr>
  </w:style>
  <w:style w:type="character" w:styleId="UnresolvedMention">
    <w:name w:val="Unresolved Mention"/>
    <w:basedOn w:val="DefaultParagraphFont"/>
    <w:uiPriority w:val="99"/>
    <w:semiHidden/>
    <w:unhideWhenUsed/>
    <w:rsid w:val="004F03C9"/>
    <w:rPr>
      <w:color w:val="605E5C"/>
      <w:shd w:val="clear" w:color="auto" w:fill="E1DFDD"/>
    </w:rPr>
  </w:style>
  <w:style w:type="character" w:customStyle="1" w:styleId="Heading1Char">
    <w:name w:val="Heading 1 Char"/>
    <w:basedOn w:val="DefaultParagraphFont"/>
    <w:link w:val="Heading1"/>
    <w:uiPriority w:val="9"/>
    <w:rsid w:val="004F03C9"/>
    <w:rPr>
      <w:rFonts w:asciiTheme="majorHAnsi" w:eastAsiaTheme="majorEastAsia" w:hAnsiTheme="majorHAnsi" w:cstheme="majorBidi"/>
      <w:color w:val="2F5496" w:themeColor="accent1" w:themeShade="BF"/>
      <w:sz w:val="32"/>
      <w:szCs w:val="32"/>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1289363">
      <w:bodyDiv w:val="1"/>
      <w:marLeft w:val="0"/>
      <w:marRight w:val="0"/>
      <w:marTop w:val="0"/>
      <w:marBottom w:val="0"/>
      <w:divBdr>
        <w:top w:val="none" w:sz="0" w:space="0" w:color="auto"/>
        <w:left w:val="none" w:sz="0" w:space="0" w:color="auto"/>
        <w:bottom w:val="none" w:sz="0" w:space="0" w:color="auto"/>
        <w:right w:val="none" w:sz="0" w:space="0" w:color="auto"/>
      </w:divBdr>
    </w:div>
    <w:div w:id="1562595070">
      <w:bodyDiv w:val="1"/>
      <w:marLeft w:val="0"/>
      <w:marRight w:val="0"/>
      <w:marTop w:val="0"/>
      <w:marBottom w:val="0"/>
      <w:divBdr>
        <w:top w:val="none" w:sz="0" w:space="0" w:color="auto"/>
        <w:left w:val="none" w:sz="0" w:space="0" w:color="auto"/>
        <w:bottom w:val="none" w:sz="0" w:space="0" w:color="auto"/>
        <w:right w:val="none" w:sz="0" w:space="0" w:color="auto"/>
      </w:divBdr>
    </w:div>
    <w:div w:id="1894654477">
      <w:bodyDiv w:val="1"/>
      <w:marLeft w:val="0"/>
      <w:marRight w:val="0"/>
      <w:marTop w:val="0"/>
      <w:marBottom w:val="0"/>
      <w:divBdr>
        <w:top w:val="none" w:sz="0" w:space="0" w:color="auto"/>
        <w:left w:val="none" w:sz="0" w:space="0" w:color="auto"/>
        <w:bottom w:val="none" w:sz="0" w:space="0" w:color="auto"/>
        <w:right w:val="none" w:sz="0" w:space="0" w:color="auto"/>
      </w:divBdr>
      <w:divsChild>
        <w:div w:id="1403722436">
          <w:marLeft w:val="734"/>
          <w:marRight w:val="0"/>
          <w:marTop w:val="0"/>
          <w:marBottom w:val="0"/>
          <w:divBdr>
            <w:top w:val="none" w:sz="0" w:space="0" w:color="auto"/>
            <w:left w:val="none" w:sz="0" w:space="0" w:color="auto"/>
            <w:bottom w:val="none" w:sz="0" w:space="0" w:color="auto"/>
            <w:right w:val="none" w:sz="0" w:space="0" w:color="auto"/>
          </w:divBdr>
        </w:div>
        <w:div w:id="1574194510">
          <w:marLeft w:val="734"/>
          <w:marRight w:val="0"/>
          <w:marTop w:val="0"/>
          <w:marBottom w:val="0"/>
          <w:divBdr>
            <w:top w:val="none" w:sz="0" w:space="0" w:color="auto"/>
            <w:left w:val="none" w:sz="0" w:space="0" w:color="auto"/>
            <w:bottom w:val="none" w:sz="0" w:space="0" w:color="auto"/>
            <w:right w:val="none" w:sz="0" w:space="0" w:color="auto"/>
          </w:divBdr>
        </w:div>
        <w:div w:id="1641887616">
          <w:marLeft w:val="734"/>
          <w:marRight w:val="0"/>
          <w:marTop w:val="0"/>
          <w:marBottom w:val="0"/>
          <w:divBdr>
            <w:top w:val="none" w:sz="0" w:space="0" w:color="auto"/>
            <w:left w:val="none" w:sz="0" w:space="0" w:color="auto"/>
            <w:bottom w:val="none" w:sz="0" w:space="0" w:color="auto"/>
            <w:right w:val="none" w:sz="0" w:space="0" w:color="auto"/>
          </w:divBdr>
        </w:div>
        <w:div w:id="704601722">
          <w:marLeft w:val="734"/>
          <w:marRight w:val="0"/>
          <w:marTop w:val="0"/>
          <w:marBottom w:val="0"/>
          <w:divBdr>
            <w:top w:val="none" w:sz="0" w:space="0" w:color="auto"/>
            <w:left w:val="none" w:sz="0" w:space="0" w:color="auto"/>
            <w:bottom w:val="none" w:sz="0" w:space="0" w:color="auto"/>
            <w:right w:val="none" w:sz="0" w:space="0" w:color="auto"/>
          </w:divBdr>
        </w:div>
        <w:div w:id="107506125">
          <w:marLeft w:val="734"/>
          <w:marRight w:val="0"/>
          <w:marTop w:val="0"/>
          <w:marBottom w:val="0"/>
          <w:divBdr>
            <w:top w:val="none" w:sz="0" w:space="0" w:color="auto"/>
            <w:left w:val="none" w:sz="0" w:space="0" w:color="auto"/>
            <w:bottom w:val="none" w:sz="0" w:space="0" w:color="auto"/>
            <w:right w:val="none" w:sz="0" w:space="0" w:color="auto"/>
          </w:divBdr>
        </w:div>
        <w:div w:id="36245681">
          <w:marLeft w:val="734"/>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vu.lt/studijos/doktoranturos-studijos/reglamentai-ir-programu-sandai/chemijos-programos-sandai" TargetMode="External"/><Relationship Id="rId18" Type="http://schemas.openxmlformats.org/officeDocument/2006/relationships/hyperlink" Target="mailto:rasa.kromkute@ftmc.lt" TargetMode="External"/><Relationship Id="rId26" Type="http://schemas.openxmlformats.org/officeDocument/2006/relationships/hyperlink" Target="mailto:doktorantura@ftmc.lt" TargetMode="External"/><Relationship Id="rId39" Type="http://schemas.openxmlformats.org/officeDocument/2006/relationships/hyperlink" Target="mailto:doktorantura@ftmc.lt" TargetMode="External"/><Relationship Id="rId21" Type="http://schemas.openxmlformats.org/officeDocument/2006/relationships/hyperlink" Target="https://intranet.ftmc.lt/?page_id=2070" TargetMode="External"/><Relationship Id="rId34" Type="http://schemas.openxmlformats.org/officeDocument/2006/relationships/hyperlink" Target="mailto:doktorantura@ftmc.lt" TargetMode="External"/><Relationship Id="rId42" Type="http://schemas.openxmlformats.org/officeDocument/2006/relationships/hyperlink" Target="mailto:kristina.pauskaite@ftmc.lt" TargetMode="External"/><Relationship Id="rId7" Type="http://schemas.openxmlformats.org/officeDocument/2006/relationships/hyperlink" Target="mailto:kestutis.senuta@ftmc.lt" TargetMode="External"/><Relationship Id="rId2" Type="http://schemas.openxmlformats.org/officeDocument/2006/relationships/styles" Target="styles.xml"/><Relationship Id="rId16" Type="http://schemas.openxmlformats.org/officeDocument/2006/relationships/hyperlink" Target="https://www.ftmc.lt/dokumentai-3" TargetMode="External"/><Relationship Id="rId29" Type="http://schemas.openxmlformats.org/officeDocument/2006/relationships/hyperlink" Target="mailto:doktorantura@ftmc.lt" TargetMode="External"/><Relationship Id="rId1" Type="http://schemas.openxmlformats.org/officeDocument/2006/relationships/numbering" Target="numbering.xml"/><Relationship Id="rId6" Type="http://schemas.openxmlformats.org/officeDocument/2006/relationships/hyperlink" Target="https://www.ftmc.lt/dokumentai-3" TargetMode="External"/><Relationship Id="rId11" Type="http://schemas.openxmlformats.org/officeDocument/2006/relationships/hyperlink" Target="https://www.ftmc.lt/dokumentai-3" TargetMode="External"/><Relationship Id="rId24" Type="http://schemas.openxmlformats.org/officeDocument/2006/relationships/hyperlink" Target="https://www.ftmc.lt/dokumentai-3" TargetMode="External"/><Relationship Id="rId32" Type="http://schemas.openxmlformats.org/officeDocument/2006/relationships/hyperlink" Target="mailto:doktorantura@ftmc.lt" TargetMode="External"/><Relationship Id="rId37" Type="http://schemas.openxmlformats.org/officeDocument/2006/relationships/hyperlink" Target="mailto:doktorantura@ftmc.lt" TargetMode="External"/><Relationship Id="rId40" Type="http://schemas.openxmlformats.org/officeDocument/2006/relationships/hyperlink" Target="mailto:kristina.pauskaite@ftmc.lt" TargetMode="External"/><Relationship Id="rId45" Type="http://schemas.openxmlformats.org/officeDocument/2006/relationships/fontTable" Target="fontTable.xml"/><Relationship Id="rId5" Type="http://schemas.openxmlformats.org/officeDocument/2006/relationships/hyperlink" Target="http://www.ftmc.lt" TargetMode="External"/><Relationship Id="rId15" Type="http://schemas.openxmlformats.org/officeDocument/2006/relationships/hyperlink" Target="https://www.vgtu.lt/stojantiesiems/doktoranturos-studijos/-doktoranturos-studiju-organizavimas/studiju-moduliai/283271" TargetMode="External"/><Relationship Id="rId23" Type="http://schemas.openxmlformats.org/officeDocument/2006/relationships/hyperlink" Target="https://dvs2.ftmc.lt/" TargetMode="External"/><Relationship Id="rId28" Type="http://schemas.openxmlformats.org/officeDocument/2006/relationships/hyperlink" Target="mailto:doktorantura@ftmc.lt" TargetMode="External"/><Relationship Id="rId36" Type="http://schemas.openxmlformats.org/officeDocument/2006/relationships/hyperlink" Target="https://www.ftmc.lt/uploads/pdf/Dokumentai/doktorantura/Doktoranturos_tvarkos/VU_Mokslo_doktorant%C5%ABros_REGLAMENTAS_patvirtintas_2020-10-06.pdf" TargetMode="External"/><Relationship Id="rId10" Type="http://schemas.openxmlformats.org/officeDocument/2006/relationships/hyperlink" Target="mailto:milda.tamosiunaite@ftmc.lt" TargetMode="External"/><Relationship Id="rId19" Type="http://schemas.openxmlformats.org/officeDocument/2006/relationships/hyperlink" Target="https://www.ftmc.lt/dokumentai-3" TargetMode="External"/><Relationship Id="rId31" Type="http://schemas.openxmlformats.org/officeDocument/2006/relationships/hyperlink" Target="mailto:doktorantura@ftmc.lt" TargetMode="External"/><Relationship Id="rId44" Type="http://schemas.openxmlformats.org/officeDocument/2006/relationships/hyperlink" Target="mailto:kestutis.senuta@ftmc.lt" TargetMode="External"/><Relationship Id="rId4" Type="http://schemas.openxmlformats.org/officeDocument/2006/relationships/webSettings" Target="webSettings.xml"/><Relationship Id="rId9" Type="http://schemas.openxmlformats.org/officeDocument/2006/relationships/hyperlink" Target="https://lsp.lt/lt" TargetMode="External"/><Relationship Id="rId14" Type="http://schemas.openxmlformats.org/officeDocument/2006/relationships/hyperlink" Target="https://www.vu.lt/studijos/doktoranturos-studijos/reglamentai-ir-programu-sandai/medziagu-inzinerijos-programos-sandai" TargetMode="External"/><Relationship Id="rId22" Type="http://schemas.openxmlformats.org/officeDocument/2006/relationships/hyperlink" Target="https://www.ftmc.lt/komandiruociu-atmintine" TargetMode="External"/><Relationship Id="rId27" Type="http://schemas.openxmlformats.org/officeDocument/2006/relationships/hyperlink" Target="mailto:doktorantura@ftmc.lt" TargetMode="External"/><Relationship Id="rId30" Type="http://schemas.openxmlformats.org/officeDocument/2006/relationships/hyperlink" Target="mailto:doktorantura@ftmc.lt" TargetMode="External"/><Relationship Id="rId35" Type="http://schemas.openxmlformats.org/officeDocument/2006/relationships/hyperlink" Target="mailto:doktorantura@ftmc.lt" TargetMode="External"/><Relationship Id="rId43" Type="http://schemas.openxmlformats.org/officeDocument/2006/relationships/hyperlink" Target="https://www.ftmc.lt/dokumentai-3" TargetMode="External"/><Relationship Id="rId8" Type="http://schemas.openxmlformats.org/officeDocument/2006/relationships/hyperlink" Target="https://dvs2.ftmc.lt/" TargetMode="External"/><Relationship Id="rId3" Type="http://schemas.openxmlformats.org/officeDocument/2006/relationships/settings" Target="settings.xml"/><Relationship Id="rId12" Type="http://schemas.openxmlformats.org/officeDocument/2006/relationships/hyperlink" Target="https://www.vu.lt/studijos/doktoranturos-studijos/reglamentai-ir-programu-sandai/fizikos-programos-sandai" TargetMode="External"/><Relationship Id="rId17" Type="http://schemas.openxmlformats.org/officeDocument/2006/relationships/hyperlink" Target="https://dvs2.ftmc.lt/" TargetMode="External"/><Relationship Id="rId25" Type="http://schemas.openxmlformats.org/officeDocument/2006/relationships/hyperlink" Target="https://www.ftmc.lt/dokumentai-3" TargetMode="External"/><Relationship Id="rId33" Type="http://schemas.openxmlformats.org/officeDocument/2006/relationships/hyperlink" Target="mailto:doktorantura@ftmc.lt" TargetMode="External"/><Relationship Id="rId38" Type="http://schemas.openxmlformats.org/officeDocument/2006/relationships/hyperlink" Target="mailto:doktorantura@ftmc.lt" TargetMode="External"/><Relationship Id="rId46" Type="http://schemas.openxmlformats.org/officeDocument/2006/relationships/theme" Target="theme/theme1.xml"/><Relationship Id="rId20" Type="http://schemas.openxmlformats.org/officeDocument/2006/relationships/hyperlink" Target="https://dvs2.ftmc.lt/" TargetMode="External"/><Relationship Id="rId41" Type="http://schemas.openxmlformats.org/officeDocument/2006/relationships/hyperlink" Target="mailto:kristina.pauskaite@ftmc.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8963</TotalTime>
  <Pages>5</Pages>
  <Words>2387</Words>
  <Characters>13608</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KristinaPS</dc:creator>
  <cp:keywords/>
  <dc:description/>
  <cp:lastModifiedBy>KristinaPS</cp:lastModifiedBy>
  <cp:revision>81</cp:revision>
  <dcterms:created xsi:type="dcterms:W3CDTF">2022-01-19T13:19:00Z</dcterms:created>
  <dcterms:modified xsi:type="dcterms:W3CDTF">2023-01-27T14:03:00Z</dcterms:modified>
</cp:coreProperties>
</file>